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rFonts w:ascii="Aptos Display" w:cs="Aptos Display" w:eastAsia="Aptos Display" w:hAnsi="Aptos Display"/>
          <w:b/>
          <w:bCs/>
          <w:color w:val="0F172A"/>
          <w:sz w:val="34"/>
          <w:szCs w:val="34"/>
        </w:rPr>
        <w:t xml:space="preserve">Novel Compound R&amp;D-2026-001 (Halogenated Aromatic Intermediate)</w:t>
      </w:r>
    </w:p>
    <w:p>
      <w:pPr>
        <w:pBdr>
          <w:top w:val="single" w:color="CBD5E1" w:sz="6"/>
          <w:bottom w:val="single" w:color="CBD5E1" w:sz="6"/>
          <w:left w:val="single" w:color="CBD5E1" w:sz="6"/>
          <w:right w:val="single" w:color="CBD5E1" w:sz="6"/>
        </w:pBdr>
        <w:shd w:fill="F8FAFC" w:color="auto" w:val="clear"/>
        <w:spacing w:after="180" w:before="40" w:line="280"/>
      </w:pPr>
      <w:r>
        <w:rPr>
          <w:rFonts w:ascii="Aptos" w:cs="Aptos" w:eastAsia="Aptos" w:hAnsi="Aptos"/>
          <w:b/>
          <w:bCs/>
          <w:color w:val="334155"/>
          <w:sz w:val="20"/>
          <w:szCs w:val="20"/>
        </w:rPr>
        <w:t xml:space="preserve">Requested identifier: RD-2026-001 (proxy: 104-88-1) | Molecular formula: C8H4ClF3O | Molecular weight: 140.56 | Prepared for: ChemEngine Datatools R&amp;D | Customer website: undefined | Intake ID: rd-poc-2026-001 | Generated: April 20, 2026 | Editable document URL: https://chemflow.nanocorp.app/public/generated-sds/rd-sds-rd-2026-001.docx</w:t>
      </w:r>
    </w:p>
    <w:p>
      <w:pPr>
        <w:pBdr>
          <w:top w:val="single" w:color="FDBA74" w:sz="8"/>
          <w:bottom w:val="single" w:color="FDBA74" w:sz="8"/>
          <w:left w:val="single" w:color="FDBA74" w:sz="8"/>
          <w:right w:val="single" w:color="FDBA74" w:sz="8"/>
        </w:pBdr>
        <w:shd w:fill="FFF7ED" w:color="auto" w:val="clear"/>
        <w:spacing w:after="220" w:before="20" w:line="300"/>
      </w:pPr>
      <w:r>
        <w:rPr>
          <w:rFonts w:ascii="Aptos" w:cs="Aptos" w:eastAsia="Aptos" w:hAnsi="Aptos"/>
          <w:b/>
          <w:bCs/>
          <w:color w:val="9A3412"/>
          <w:sz w:val="22"/>
          <w:szCs w:val="22"/>
        </w:rPr>
        <w:t xml:space="preserve">Editable draft notice: Review this Word document with your EHS or regulatory team before customer-facing use. You may customize formatting, branding, and remove the draft note after review.</w:t>
      </w:r>
    </w:p>
    <w:p>
      <w:pPr>
        <w:pStyle w:val="Heading2"/>
        <w:keepNext/>
        <w:keepLines/>
        <w:shd w:fill="E4E7EB" w:color="auto" w:val="clear"/>
        <w:spacing w:after="120" w:before="0"/>
      </w:pPr>
      <w:r>
        <w:rPr>
          <w:rFonts w:ascii="Aptos Display" w:cs="Aptos Display" w:eastAsia="Aptos Display" w:hAnsi="Aptos Display"/>
          <w:b/>
          <w:bCs/>
          <w:color w:val="1B3A5C"/>
          <w:sz w:val="24"/>
          <w:szCs w:val="24"/>
        </w:rPr>
        <w:t xml:space="preserve">SECTION 1: Identification</w:t>
      </w:r>
    </w:p>
    <w:p>
      <w:pPr>
        <w:pStyle w:val="ListParagraph"/>
        <w:numPr>
          <w:ilvl w:val="0"/>
          <w:numId w:val="1"/>
        </w:numPr>
        <w:spacing w:after="60" w:line="300"/>
      </w:pPr>
      <w:r>
        <w:rPr>
          <w:rFonts w:ascii="Aptos" w:cs="Aptos" w:eastAsia="Aptos" w:hAnsi="Aptos"/>
          <w:color w:val="111827"/>
          <w:sz w:val="22"/>
          <w:szCs w:val="22"/>
        </w:rPr>
        <w:t xml:space="preserve">Prepared for: ChemEngine Datatools R&amp;D</w:t>
      </w:r>
    </w:p>
    <w:p>
      <w:pPr>
        <w:pStyle w:val="ListParagraph"/>
        <w:numPr>
          <w:ilvl w:val="0"/>
          <w:numId w:val="1"/>
        </w:numPr>
        <w:spacing w:after="60" w:line="300"/>
      </w:pPr>
      <w:r>
        <w:rPr>
          <w:rFonts w:ascii="Aptos" w:cs="Aptos" w:eastAsia="Aptos" w:hAnsi="Aptos"/>
          <w:color w:val="111827"/>
          <w:sz w:val="22"/>
          <w:szCs w:val="22"/>
        </w:rPr>
        <w:t xml:space="preserve">Customer website: undefined</w:t>
      </w:r>
    </w:p>
    <w:p>
      <w:pPr>
        <w:pStyle w:val="ListParagraph"/>
        <w:numPr>
          <w:ilvl w:val="0"/>
          <w:numId w:val="1"/>
        </w:numPr>
        <w:spacing w:after="60" w:line="300"/>
      </w:pPr>
      <w:r>
        <w:rPr>
          <w:rFonts w:ascii="Aptos" w:cs="Aptos" w:eastAsia="Aptos" w:hAnsi="Aptos"/>
          <w:color w:val="111827"/>
          <w:sz w:val="22"/>
          <w:szCs w:val="22"/>
        </w:rPr>
        <w:t xml:space="preserve">Product Identifier: Novel Compound R&amp;D-2026-001 (Halogenated Aromatic Intermediate)</w:t>
      </w:r>
    </w:p>
    <w:p>
      <w:pPr>
        <w:pStyle w:val="ListParagraph"/>
        <w:numPr>
          <w:ilvl w:val="0"/>
          <w:numId w:val="1"/>
        </w:numPr>
        <w:spacing w:after="60" w:line="300"/>
      </w:pPr>
      <w:r>
        <w:rPr>
          <w:rFonts w:ascii="Aptos" w:cs="Aptos" w:eastAsia="Aptos" w:hAnsi="Aptos"/>
          <w:color w:val="111827"/>
          <w:sz w:val="22"/>
          <w:szCs w:val="22"/>
        </w:rPr>
        <w:t xml:space="preserve">IUPAC name: 4-chlorobenzaldehyde</w:t>
      </w:r>
    </w:p>
    <w:p>
      <w:pPr>
        <w:pStyle w:val="ListParagraph"/>
        <w:numPr>
          <w:ilvl w:val="0"/>
          <w:numId w:val="1"/>
        </w:numPr>
        <w:spacing w:after="60" w:line="300"/>
      </w:pPr>
      <w:r>
        <w:rPr>
          <w:rFonts w:ascii="Aptos" w:cs="Aptos" w:eastAsia="Aptos" w:hAnsi="Aptos"/>
          <w:color w:val="111827"/>
          <w:sz w:val="22"/>
          <w:szCs w:val="22"/>
        </w:rPr>
        <w:t xml:space="preserve">CAS number: 104-88-1</w:t>
      </w:r>
    </w:p>
    <w:p>
      <w:pPr>
        <w:pStyle w:val="ListParagraph"/>
        <w:numPr>
          <w:ilvl w:val="0"/>
          <w:numId w:val="1"/>
        </w:numPr>
        <w:spacing w:after="60" w:line="300"/>
      </w:pPr>
      <w:r>
        <w:rPr>
          <w:rFonts w:ascii="Aptos" w:cs="Aptos" w:eastAsia="Aptos" w:hAnsi="Aptos"/>
          <w:color w:val="111827"/>
          <w:sz w:val="22"/>
          <w:szCs w:val="22"/>
        </w:rPr>
        <w:t xml:space="preserve">Molecular formula: C7H5ClO</w:t>
      </w:r>
    </w:p>
    <w:p>
      <w:pPr>
        <w:pStyle w:val="ListParagraph"/>
        <w:numPr>
          <w:ilvl w:val="0"/>
          <w:numId w:val="1"/>
        </w:numPr>
        <w:spacing w:after="60" w:line="300"/>
      </w:pPr>
      <w:r>
        <w:rPr>
          <w:rFonts w:ascii="Aptos" w:cs="Aptos" w:eastAsia="Aptos" w:hAnsi="Aptos"/>
          <w:color w:val="111827"/>
          <w:sz w:val="22"/>
          <w:szCs w:val="22"/>
        </w:rPr>
        <w:t xml:space="preserve">Molecular weight: 140.56</w:t>
      </w:r>
    </w:p>
    <w:p>
      <w:pPr>
        <w:pStyle w:val="ListParagraph"/>
        <w:numPr>
          <w:ilvl w:val="0"/>
          <w:numId w:val="1"/>
        </w:numPr>
        <w:spacing w:after="60" w:line="300"/>
      </w:pPr>
      <w:r>
        <w:rPr>
          <w:rFonts w:ascii="Aptos" w:cs="Aptos" w:eastAsia="Aptos" w:hAnsi="Aptos"/>
          <w:color w:val="111827"/>
          <w:sz w:val="22"/>
          <w:szCs w:val="22"/>
        </w:rPr>
        <w:t xml:space="preserve">PubChem CID: 7726</w:t>
      </w:r>
    </w:p>
    <w:p>
      <w:pPr>
        <w:pStyle w:val="ListParagraph"/>
        <w:numPr>
          <w:ilvl w:val="0"/>
          <w:numId w:val="1"/>
        </w:numPr>
        <w:spacing w:after="60" w:line="300"/>
      </w:pPr>
      <w:r>
        <w:rPr>
          <w:rFonts w:ascii="Aptos" w:cs="Aptos" w:eastAsia="Aptos" w:hAnsi="Aptos"/>
          <w:color w:val="111827"/>
          <w:sz w:val="22"/>
          <w:szCs w:val="22"/>
        </w:rPr>
        <w:t xml:space="preserve">Synonyms: 4-Chlorobenzaldehyde; P-CHLOROBENZALDEHYDE; Benzaldehyde, 4-chloro-; Benzaldehyde, p-chloro-; p-Chlorobenzenecarboxaldehyde; PARA-CHLOROBENZALDEHYDE; E67727UP9Z; NSC-2078; 203-247-4; 4-chloro-benzaldehyde</w:t>
      </w:r>
    </w:p>
    <w:p>
      <w:pPr>
        <w:pStyle w:val="ListParagraph"/>
        <w:numPr>
          <w:ilvl w:val="0"/>
          <w:numId w:val="1"/>
        </w:numPr>
        <w:spacing w:after="60" w:line="300"/>
      </w:pPr>
      <w:r>
        <w:rPr>
          <w:rFonts w:ascii="Aptos" w:cs="Aptos" w:eastAsia="Aptos" w:hAnsi="Aptos"/>
          <w:color w:val="111827"/>
          <w:sz w:val="22"/>
          <w:szCs w:val="22"/>
        </w:rPr>
        <w:t xml:space="preserve">Recommended use: Draft SDS generated for laboratory, procurement, product-stewardship, and internal customer review.</w:t>
      </w:r>
    </w:p>
    <w:p>
      <w:pPr>
        <w:pStyle w:val="ListParagraph"/>
        <w:numPr>
          <w:ilvl w:val="0"/>
          <w:numId w:val="1"/>
        </w:numPr>
        <w:spacing w:after="60" w:line="300"/>
      </w:pPr>
      <w:r>
        <w:rPr>
          <w:rFonts w:ascii="Aptos" w:cs="Aptos" w:eastAsia="Aptos" w:hAnsi="Aptos"/>
          <w:color w:val="111827"/>
          <w:sz w:val="22"/>
          <w:szCs w:val="22"/>
        </w:rPr>
        <w:t xml:space="preserve">Restrictions on use: External regulatory or customer issuance still requires review by a qualified chemical safety professional.</w:t>
      </w:r>
    </w:p>
    <w:p>
      <w:pPr>
        <w:pBdr>
          <w:bottom w:val="single" w:color="1B3A5C" w:sz="4"/>
        </w:pBdr>
        <w:spacing w:after="90" w:before="140"/>
      </w:pPr>
      <w:r>
        <w:t xml:space="preserve"/>
      </w:r>
    </w:p>
    <w:p>
      <w:pPr>
        <w:pStyle w:val="Heading2"/>
        <w:keepNext/>
        <w:keepLines/>
        <w:shd w:fill="E4E7EB" w:color="auto" w:val="clear"/>
        <w:spacing w:after="120" w:before="0"/>
      </w:pPr>
      <w:r>
        <w:rPr>
          <w:rFonts w:ascii="Aptos Display" w:cs="Aptos Display" w:eastAsia="Aptos Display" w:hAnsi="Aptos Display"/>
          <w:b/>
          <w:bCs/>
          <w:color w:val="1B3A5C"/>
          <w:sz w:val="24"/>
          <w:szCs w:val="24"/>
        </w:rPr>
        <w:t xml:space="preserve">SECTION 2: Hazards Identification</w:t>
      </w:r>
    </w:p>
    <w:p>
      <w:pPr>
        <w:keepNext/>
        <w:spacing w:after="60"/>
      </w:pPr>
      <w:r>
        <w:rPr>
          <w:rFonts w:ascii="Aptos" w:cs="Aptos" w:eastAsia="Aptos" w:hAnsi="Aptos"/>
          <w:b/>
          <w:bCs/>
          <w:color w:val="334155"/>
          <w:sz w:val="21"/>
          <w:szCs w:val="21"/>
        </w:rPr>
        <w:t xml:space="preserve">Embedded GHS pictograms</w:t>
      </w:r>
    </w:p>
    <w:p>
      <w:pPr>
        <w:spacing w:after="40"/>
      </w:pPr>
      <w:r>
        <w:drawing>
          <wp:inline distT="0" distB="0" distL="0" distR="0">
            <wp:extent cx="762000" cy="762000"/>
            <wp:effectExtent t="0" r="0" b="0" l="0"/>
            <wp:docPr id="1" name="GHS07 Irritant" descr="GHS07 Irritant" title="GHS07 Irri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762000" cy="762000"/>
                    </a:xfrm>
                    <a:prstGeom prst="rect">
                      <a:avLst/>
                    </a:prstGeom>
                  </pic:spPr>
                </pic:pic>
              </a:graphicData>
            </a:graphic>
          </wp:inline>
        </w:drawing>
      </w:r>
      <w:r>
        <w:rPr>
          <w:rFonts w:ascii="Aptos" w:cs="Aptos" w:eastAsia="Aptos" w:hAnsi="Aptos"/>
          <w:b/>
          <w:bCs/>
          <w:color w:val="334155"/>
          <w:sz w:val="20"/>
          <w:szCs w:val="20"/>
        </w:rPr>
        <w:t xml:space="preserve"> GHS07   </w:t>
      </w:r>
      <w:r>
        <w:drawing>
          <wp:inline distT="0" distB="0" distL="0" distR="0">
            <wp:extent cx="762000" cy="762000"/>
            <wp:effectExtent t="0" r="0" b="0" l="0"/>
            <wp:docPr id="1" name="GHS09 Environmental Hazard" descr="GHS09 Environmental Hazard" title="GHS09 Environmental Ha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762000" cy="762000"/>
                    </a:xfrm>
                    <a:prstGeom prst="rect">
                      <a:avLst/>
                    </a:prstGeom>
                  </pic:spPr>
                </pic:pic>
              </a:graphicData>
            </a:graphic>
          </wp:inline>
        </w:drawing>
      </w:r>
      <w:r>
        <w:rPr>
          <w:rFonts w:ascii="Aptos" w:cs="Aptos" w:eastAsia="Aptos" w:hAnsi="Aptos"/>
          <w:b/>
          <w:bCs/>
          <w:color w:val="334155"/>
          <w:sz w:val="20"/>
          <w:szCs w:val="20"/>
        </w:rPr>
        <w:t xml:space="preserve"> GHS09   </w:t>
      </w:r>
      <w:r>
        <w:drawing>
          <wp:inline distT="0" distB="0" distL="0" distR="0">
            <wp:extent cx="762000" cy="762000"/>
            <wp:effectExtent t="0" r="0" b="0" l="0"/>
            <wp:docPr id="1" name="GHS08 Health Hazard" descr="GHS08 Health Hazard" title="GHS08 Health Ha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762000" cy="762000"/>
                    </a:xfrm>
                    <a:prstGeom prst="rect">
                      <a:avLst/>
                    </a:prstGeom>
                  </pic:spPr>
                </pic:pic>
              </a:graphicData>
            </a:graphic>
          </wp:inline>
        </w:drawing>
      </w:r>
      <w:r>
        <w:rPr>
          <w:rFonts w:ascii="Aptos" w:cs="Aptos" w:eastAsia="Aptos" w:hAnsi="Aptos"/>
          <w:b/>
          <w:bCs/>
          <w:color w:val="334155"/>
          <w:sz w:val="20"/>
          <w:szCs w:val="20"/>
        </w:rPr>
        <w:t xml:space="preserve"> GHS08</w:t>
      </w:r>
    </w:p>
    <w:p>
      <w:pPr>
        <w:spacing w:after="140"/>
      </w:pPr>
      <w:r>
        <w:rPr>
          <w:rFonts w:ascii="Aptos" w:cs="Aptos" w:eastAsia="Aptos" w:hAnsi="Aptos"/>
          <w:i/>
          <w:iCs/>
          <w:color w:val="475569"/>
          <w:sz w:val="18"/>
          <w:szCs w:val="18"/>
        </w:rPr>
        <w:t xml:space="preserve">GHS07 (Irritant) | GHS09 (Environmental Hazard) | GHS08 (Health Hazard)</w:t>
      </w:r>
    </w:p>
    <w:p>
      <w:pPr>
        <w:pStyle w:val="ListParagraph"/>
        <w:numPr>
          <w:ilvl w:val="0"/>
          <w:numId w:val="1"/>
        </w:numPr>
        <w:spacing w:after="60" w:line="300"/>
      </w:pPr>
      <w:r>
        <w:rPr>
          <w:rFonts w:ascii="Aptos" w:cs="Aptos" w:eastAsia="Aptos" w:hAnsi="Aptos"/>
          <w:color w:val="111827"/>
          <w:sz w:val="22"/>
          <w:szCs w:val="22"/>
        </w:rPr>
        <w:t xml:space="preserve">Signal word: Warning</w:t>
      </w:r>
    </w:p>
    <w:p>
      <w:pPr>
        <w:pStyle w:val="ListParagraph"/>
        <w:numPr>
          <w:ilvl w:val="0"/>
          <w:numId w:val="1"/>
        </w:numPr>
        <w:spacing w:after="60" w:line="300"/>
      </w:pPr>
      <w:r>
        <w:rPr>
          <w:rFonts w:ascii="Aptos" w:cs="Aptos" w:eastAsia="Aptos" w:hAnsi="Aptos"/>
          <w:color w:val="111827"/>
          <w:sz w:val="22"/>
          <w:szCs w:val="22"/>
        </w:rPr>
        <w:t xml:space="preserve">GHS pictograms: GHS07 (Irritant), GHS09 (Environmental Hazard), GHS08 (Health Hazard)</w:t>
      </w:r>
    </w:p>
    <w:p>
      <w:pPr>
        <w:pStyle w:val="ListParagraph"/>
        <w:numPr>
          <w:ilvl w:val="0"/>
          <w:numId w:val="1"/>
        </w:numPr>
        <w:spacing w:after="60" w:line="300"/>
      </w:pPr>
      <w:r>
        <w:rPr>
          <w:rFonts w:ascii="Aptos" w:cs="Aptos" w:eastAsia="Aptos" w:hAnsi="Aptos"/>
          <w:color w:val="111827"/>
          <w:sz w:val="22"/>
          <w:szCs w:val="22"/>
        </w:rPr>
        <w:t xml:space="preserve">Hazard statement: H302: Harmful if swallowed [Warning Acute toxicity, oral]</w:t>
      </w:r>
    </w:p>
    <w:p>
      <w:pPr>
        <w:pStyle w:val="ListParagraph"/>
        <w:numPr>
          <w:ilvl w:val="0"/>
          <w:numId w:val="1"/>
        </w:numPr>
        <w:spacing w:after="60" w:line="300"/>
      </w:pPr>
      <w:r>
        <w:rPr>
          <w:rFonts w:ascii="Aptos" w:cs="Aptos" w:eastAsia="Aptos" w:hAnsi="Aptos"/>
          <w:color w:val="111827"/>
          <w:sz w:val="22"/>
          <w:szCs w:val="22"/>
        </w:rPr>
        <w:t xml:space="preserve">Hazard statement: H315: Causes skin irritation [Warning Skin corrosion/irritation]</w:t>
      </w:r>
    </w:p>
    <w:p>
      <w:pPr>
        <w:pStyle w:val="ListParagraph"/>
        <w:numPr>
          <w:ilvl w:val="0"/>
          <w:numId w:val="1"/>
        </w:numPr>
        <w:spacing w:after="60" w:line="300"/>
      </w:pPr>
      <w:r>
        <w:rPr>
          <w:rFonts w:ascii="Aptos" w:cs="Aptos" w:eastAsia="Aptos" w:hAnsi="Aptos"/>
          <w:color w:val="111827"/>
          <w:sz w:val="22"/>
          <w:szCs w:val="22"/>
        </w:rPr>
        <w:t xml:space="preserve">Hazard statement: H317 (76.7%): May cause an allergic skin reaction [Warning Sensitization, Skin]</w:t>
      </w:r>
    </w:p>
    <w:p>
      <w:pPr>
        <w:pStyle w:val="ListParagraph"/>
        <w:numPr>
          <w:ilvl w:val="0"/>
          <w:numId w:val="1"/>
        </w:numPr>
        <w:spacing w:after="60" w:line="300"/>
      </w:pPr>
      <w:r>
        <w:rPr>
          <w:rFonts w:ascii="Aptos" w:cs="Aptos" w:eastAsia="Aptos" w:hAnsi="Aptos"/>
          <w:color w:val="111827"/>
          <w:sz w:val="22"/>
          <w:szCs w:val="22"/>
        </w:rPr>
        <w:t xml:space="preserve">Hazard statement: H319 (99.6%): Causes serious eye irritation [Warning Serious eye damage/eye irritation]</w:t>
      </w:r>
    </w:p>
    <w:p>
      <w:pPr>
        <w:pStyle w:val="ListParagraph"/>
        <w:numPr>
          <w:ilvl w:val="0"/>
          <w:numId w:val="1"/>
        </w:numPr>
        <w:spacing w:after="60" w:line="300"/>
      </w:pPr>
      <w:r>
        <w:rPr>
          <w:rFonts w:ascii="Aptos" w:cs="Aptos" w:eastAsia="Aptos" w:hAnsi="Aptos"/>
          <w:color w:val="111827"/>
          <w:sz w:val="22"/>
          <w:szCs w:val="22"/>
        </w:rPr>
        <w:t xml:space="preserve">Hazard statement: H335 (17.2%): May cause respiratory irritation [Warning Specific target organ toxicity, single exposure; Respiratory tract irritation]</w:t>
      </w:r>
    </w:p>
    <w:p>
      <w:pPr>
        <w:pStyle w:val="ListParagraph"/>
        <w:numPr>
          <w:ilvl w:val="0"/>
          <w:numId w:val="1"/>
        </w:numPr>
        <w:spacing w:after="60" w:line="300"/>
      </w:pPr>
      <w:r>
        <w:rPr>
          <w:rFonts w:ascii="Aptos" w:cs="Aptos" w:eastAsia="Aptos" w:hAnsi="Aptos"/>
          <w:color w:val="111827"/>
          <w:sz w:val="22"/>
          <w:szCs w:val="22"/>
        </w:rPr>
        <w:t xml:space="preserve">Hazard statement: H411 (81.5%): Toxic to aquatic life with long lasting effects [Hazardous to the aquatic environment, long-term hazard]</w:t>
      </w:r>
    </w:p>
    <w:p>
      <w:pPr>
        <w:pStyle w:val="ListParagraph"/>
        <w:numPr>
          <w:ilvl w:val="0"/>
          <w:numId w:val="1"/>
        </w:numPr>
        <w:spacing w:after="60" w:line="300"/>
      </w:pPr>
      <w:r>
        <w:rPr>
          <w:rFonts w:ascii="Aptos" w:cs="Aptos" w:eastAsia="Aptos" w:hAnsi="Aptos"/>
          <w:color w:val="111827"/>
          <w:sz w:val="22"/>
          <w:szCs w:val="22"/>
        </w:rPr>
        <w:t xml:space="preserve">Precautionary statement codes: P261, P264, P264+P265, P270, P271, P272</w:t>
      </w:r>
    </w:p>
    <w:p>
      <w:pPr>
        <w:pStyle w:val="ListParagraph"/>
        <w:numPr>
          <w:ilvl w:val="0"/>
          <w:numId w:val="1"/>
        </w:numPr>
        <w:spacing w:after="60" w:line="300"/>
      </w:pPr>
      <w:r>
        <w:rPr>
          <w:rFonts w:ascii="Aptos" w:cs="Aptos" w:eastAsia="Aptos" w:hAnsi="Aptos"/>
          <w:color w:val="111827"/>
          <w:sz w:val="22"/>
          <w:szCs w:val="22"/>
        </w:rPr>
        <w:t xml:space="preserve">Additional precautionary codes: P273, P280, P301+P317, P302+P352, P304+P340, P305+P351+P338</w:t>
      </w:r>
    </w:p>
    <w:p>
      <w:pPr>
        <w:pStyle w:val="ListParagraph"/>
        <w:numPr>
          <w:ilvl w:val="0"/>
          <w:numId w:val="1"/>
        </w:numPr>
        <w:spacing w:after="60" w:line="300"/>
      </w:pPr>
      <w:r>
        <w:rPr>
          <w:rFonts w:ascii="Aptos" w:cs="Aptos" w:eastAsia="Aptos" w:hAnsi="Aptos"/>
          <w:color w:val="111827"/>
          <w:sz w:val="22"/>
          <w:szCs w:val="22"/>
        </w:rPr>
        <w:t xml:space="preserve">Additional precautionary codes: P319, P321, P330, P332+P317, P333+P317, P337+P317</w:t>
      </w:r>
    </w:p>
    <w:p>
      <w:pPr>
        <w:pStyle w:val="ListParagraph"/>
        <w:numPr>
          <w:ilvl w:val="0"/>
          <w:numId w:val="1"/>
        </w:numPr>
        <w:spacing w:after="60" w:line="300"/>
      </w:pPr>
      <w:r>
        <w:rPr>
          <w:rFonts w:ascii="Aptos" w:cs="Aptos" w:eastAsia="Aptos" w:hAnsi="Aptos"/>
          <w:color w:val="111827"/>
          <w:sz w:val="22"/>
          <w:szCs w:val="22"/>
        </w:rPr>
        <w:t xml:space="preserve">Additional precautionary codes: P362+P364, P391, P403+P233, P405, P501, P260</w:t>
      </w:r>
    </w:p>
    <w:p>
      <w:pPr>
        <w:pBdr>
          <w:bottom w:val="single" w:color="1B3A5C" w:sz="4"/>
        </w:pBdr>
        <w:spacing w:after="90" w:before="140"/>
      </w:pPr>
      <w:r>
        <w:t xml:space="preserve"/>
      </w:r>
    </w:p>
    <w:p>
      <w:pPr>
        <w:pStyle w:val="Heading2"/>
        <w:keepNext/>
        <w:keepLines/>
        <w:shd w:fill="E4E7EB" w:color="auto" w:val="clear"/>
        <w:spacing w:after="120" w:before="0"/>
      </w:pPr>
      <w:r>
        <w:rPr>
          <w:rFonts w:ascii="Aptos Display" w:cs="Aptos Display" w:eastAsia="Aptos Display" w:hAnsi="Aptos Display"/>
          <w:b/>
          <w:bCs/>
          <w:color w:val="1B3A5C"/>
          <w:sz w:val="24"/>
          <w:szCs w:val="24"/>
        </w:rPr>
        <w:t xml:space="preserve">SECTION 3: Composition / Information on Ingredients</w:t>
      </w:r>
    </w:p>
    <w:p>
      <w:pPr>
        <w:pStyle w:val="ListParagraph"/>
        <w:numPr>
          <w:ilvl w:val="0"/>
          <w:numId w:val="1"/>
        </w:numPr>
        <w:spacing w:after="60" w:line="300"/>
      </w:pPr>
      <w:r>
        <w:rPr>
          <w:rFonts w:ascii="Aptos" w:cs="Aptos" w:eastAsia="Aptos" w:hAnsi="Aptos"/>
          <w:color w:val="111827"/>
          <w:sz w:val="22"/>
          <w:szCs w:val="22"/>
        </w:rPr>
        <w:t xml:space="preserve">Novel Compound SMILES: ClC1=CC=C(C=C1)C(=O)CC(F)(F)F</w:t>
      </w:r>
    </w:p>
    <w:p>
      <w:pPr>
        <w:pStyle w:val="ListParagraph"/>
        <w:numPr>
          <w:ilvl w:val="0"/>
          <w:numId w:val="1"/>
        </w:numPr>
        <w:spacing w:after="60" w:line="300"/>
      </w:pPr>
      <w:r>
        <w:rPr>
          <w:rFonts w:ascii="Aptos" w:cs="Aptos" w:eastAsia="Aptos" w:hAnsi="Aptos"/>
          <w:color w:val="111827"/>
          <w:sz w:val="22"/>
          <w:szCs w:val="22"/>
        </w:rPr>
        <w:t xml:space="preserve">Substance: 4-Chlorobenzaldehyde</w:t>
      </w:r>
    </w:p>
    <w:p>
      <w:pPr>
        <w:pStyle w:val="ListParagraph"/>
        <w:numPr>
          <w:ilvl w:val="0"/>
          <w:numId w:val="1"/>
        </w:numPr>
        <w:spacing w:after="60" w:line="300"/>
      </w:pPr>
      <w:r>
        <w:rPr>
          <w:rFonts w:ascii="Aptos" w:cs="Aptos" w:eastAsia="Aptos" w:hAnsi="Aptos"/>
          <w:color w:val="111827"/>
          <w:sz w:val="22"/>
          <w:szCs w:val="22"/>
        </w:rPr>
        <w:t xml:space="preserve">CAS number: 104-88-1</w:t>
      </w:r>
    </w:p>
    <w:p>
      <w:pPr>
        <w:pStyle w:val="ListParagraph"/>
        <w:numPr>
          <w:ilvl w:val="0"/>
          <w:numId w:val="1"/>
        </w:numPr>
        <w:spacing w:after="60" w:line="300"/>
      </w:pPr>
      <w:r>
        <w:rPr>
          <w:rFonts w:ascii="Aptos" w:cs="Aptos" w:eastAsia="Aptos" w:hAnsi="Aptos"/>
          <w:color w:val="111827"/>
          <w:sz w:val="22"/>
          <w:szCs w:val="22"/>
        </w:rPr>
        <w:t xml:space="preserve">Molecular formula: C7H5ClO [Novel compound; formula C8H4ClF3O estimated from SMILES]</w:t>
      </w:r>
    </w:p>
    <w:p>
      <w:pPr>
        <w:pStyle w:val="ListParagraph"/>
        <w:numPr>
          <w:ilvl w:val="0"/>
          <w:numId w:val="1"/>
        </w:numPr>
        <w:spacing w:after="60" w:line="300"/>
      </w:pPr>
      <w:r>
        <w:rPr>
          <w:rFonts w:ascii="Aptos" w:cs="Aptos" w:eastAsia="Aptos" w:hAnsi="Aptos"/>
          <w:color w:val="111827"/>
          <w:sz w:val="22"/>
          <w:szCs w:val="22"/>
        </w:rPr>
        <w:t xml:space="preserve">Composition: Single constituent substance represented by the resolved PubChem compound record.</w:t>
      </w:r>
    </w:p>
    <w:p>
      <w:pPr>
        <w:pStyle w:val="ListParagraph"/>
        <w:numPr>
          <w:ilvl w:val="0"/>
          <w:numId w:val="1"/>
        </w:numPr>
        <w:spacing w:after="60" w:line="300"/>
      </w:pPr>
      <w:r>
        <w:rPr>
          <w:rFonts w:ascii="Aptos" w:cs="Aptos" w:eastAsia="Aptos" w:hAnsi="Aptos"/>
          <w:color w:val="111827"/>
          <w:sz w:val="22"/>
          <w:szCs w:val="22"/>
        </w:rPr>
        <w:t xml:space="preserve">Impurities and stabilizers: Supplier-specific impurity profile is not carried by PubChem and should be confirmed for the sold grade before issue.</w:t>
      </w:r>
    </w:p>
    <w:p>
      <w:pPr>
        <w:pBdr>
          <w:bottom w:val="single" w:color="1B3A5C" w:sz="4"/>
        </w:pBdr>
        <w:spacing w:after="90" w:before="140"/>
      </w:pPr>
      <w:r>
        <w:t xml:space="preserve"/>
      </w:r>
    </w:p>
    <w:p>
      <w:pPr>
        <w:pStyle w:val="Heading2"/>
        <w:keepNext/>
        <w:keepLines/>
        <w:shd w:fill="E4E7EB" w:color="auto" w:val="clear"/>
        <w:spacing w:after="120" w:before="0"/>
      </w:pPr>
      <w:r>
        <w:rPr>
          <w:rFonts w:ascii="Aptos Display" w:cs="Aptos Display" w:eastAsia="Aptos Display" w:hAnsi="Aptos Display"/>
          <w:b/>
          <w:bCs/>
          <w:color w:val="1B3A5C"/>
          <w:sz w:val="24"/>
          <w:szCs w:val="24"/>
        </w:rPr>
        <w:t xml:space="preserve">SECTION 4: First-Aid Measures</w:t>
      </w:r>
    </w:p>
    <w:p>
      <w:pPr>
        <w:pStyle w:val="ListParagraph"/>
        <w:numPr>
          <w:ilvl w:val="0"/>
          <w:numId w:val="1"/>
        </w:numPr>
        <w:spacing w:after="60" w:line="300"/>
      </w:pPr>
      <w:r>
        <w:rPr>
          <w:rFonts w:ascii="Aptos" w:cs="Aptos" w:eastAsia="Aptos" w:hAnsi="Aptos"/>
          <w:color w:val="111827"/>
          <w:sz w:val="22"/>
          <w:szCs w:val="22"/>
        </w:rPr>
        <w:t xml:space="preserve">First Aid: EYES: First check the victim for contact lenses and remove if present. Flush victim's eyes with water or normal saline solution for 20 to 30 minutes while simultaneously calling a hospital or poison control center. Do not put any ointments, oils, or medication in the victim's eyes without specific instructions from a physician. IMMEDIATELY transport the victim after flushing eyes to a hospital even if no symptoms (such as redness or irritation) develop. SKIN: IMMEDIATELY flood affected skin with water while removing and isolating all contaminated clothing. Gently wash all affected skin areas thoroughly with soap and water. If symptoms such as redness or irritation develop, IMMEDIATELY call a physician and be prepared to transport the victim to a hospital for treatment. INHALATION: IMMEDIATELY leave the contaminated area; take deep breaths of fresh air. If symptoms (such as wheezing, coughing, shortness of breath, or burning in the mouth, throat, or chest) develop, call a physician and be prepared to transport the victim to a hospital. Provide proper respiratory protection to rescuers entering an unknown atmosphere. Whenever possible, Self-Contained Breathing Apparatus (SCBA) should be used; if not available, use a level of protection greater than or equal to that advised under Protective Clothing. INGESTION: DO NOT INDUCE VOMITING. If the victim is conscious and not convulsing, give 1 or 2 glasses of water to dilute the chemical and IMMEDIATELY call a hospital or poison control center. Be prepared to transport the victim to a hospital if advised by a physician. If the victim is convulsing or unconscious, do not give anything by mouth, ensure that the victim's airway is open and lay the victim on his/her side with the head lower than the body. DO NOT INDUCE VOMITING. IMMEDIATELY transport the victim to a hospital. (NTP, 1992)</w:t>
      </w:r>
    </w:p>
    <w:p>
      <w:pPr>
        <w:pStyle w:val="ListParagraph"/>
        <w:numPr>
          <w:ilvl w:val="0"/>
          <w:numId w:val="1"/>
        </w:numPr>
        <w:spacing w:after="60" w:line="300"/>
      </w:pPr>
      <w:r>
        <w:rPr>
          <w:rFonts w:ascii="Aptos" w:cs="Aptos" w:eastAsia="Aptos" w:hAnsi="Aptos"/>
          <w:color w:val="111827"/>
          <w:sz w:val="22"/>
          <w:szCs w:val="22"/>
        </w:rPr>
        <w:t xml:space="preserve">Inhalation: Move the exposed person to fresh air and keep at rest in a position comfortable for breathing.</w:t>
      </w:r>
    </w:p>
    <w:p>
      <w:pPr>
        <w:pStyle w:val="ListParagraph"/>
        <w:numPr>
          <w:ilvl w:val="0"/>
          <w:numId w:val="1"/>
        </w:numPr>
        <w:spacing w:after="60" w:line="300"/>
      </w:pPr>
      <w:r>
        <w:rPr>
          <w:rFonts w:ascii="Aptos" w:cs="Aptos" w:eastAsia="Aptos" w:hAnsi="Aptos"/>
          <w:color w:val="111827"/>
          <w:sz w:val="22"/>
          <w:szCs w:val="22"/>
        </w:rPr>
        <w:t xml:space="preserve">Skin contact: Immediately remove contaminated clothing and flush skin with running water for at least 15 minutes.</w:t>
      </w:r>
    </w:p>
    <w:p>
      <w:pPr>
        <w:pStyle w:val="ListParagraph"/>
        <w:numPr>
          <w:ilvl w:val="0"/>
          <w:numId w:val="1"/>
        </w:numPr>
        <w:spacing w:after="60" w:line="300"/>
      </w:pPr>
      <w:r>
        <w:rPr>
          <w:rFonts w:ascii="Aptos" w:cs="Aptos" w:eastAsia="Aptos" w:hAnsi="Aptos"/>
          <w:color w:val="111827"/>
          <w:sz w:val="22"/>
          <w:szCs w:val="22"/>
        </w:rPr>
        <w:t xml:space="preserve">Eye contact: Rinse cautiously with water for several minutes and remove contact lenses if present and easy to do.</w:t>
      </w:r>
    </w:p>
    <w:p>
      <w:pPr>
        <w:pStyle w:val="ListParagraph"/>
        <w:numPr>
          <w:ilvl w:val="0"/>
          <w:numId w:val="1"/>
        </w:numPr>
        <w:spacing w:after="60" w:line="300"/>
      </w:pPr>
      <w:r>
        <w:rPr>
          <w:rFonts w:ascii="Aptos" w:cs="Aptos" w:eastAsia="Aptos" w:hAnsi="Aptos"/>
          <w:color w:val="111827"/>
          <w:sz w:val="22"/>
          <w:szCs w:val="22"/>
        </w:rPr>
        <w:t xml:space="preserve">Ingestion: Rinse mouth and obtain medical advice if symptoms occur; do not induce vomiting unless directed by medical personnel.</w:t>
      </w:r>
    </w:p>
    <w:p>
      <w:pPr>
        <w:pBdr>
          <w:bottom w:val="single" w:color="1B3A5C" w:sz="4"/>
        </w:pBdr>
        <w:spacing w:after="90" w:before="140"/>
      </w:pPr>
      <w:r>
        <w:t xml:space="preserve"/>
      </w:r>
    </w:p>
    <w:p>
      <w:pPr>
        <w:pStyle w:val="Heading2"/>
        <w:keepNext/>
        <w:keepLines/>
        <w:shd w:fill="E4E7EB" w:color="auto" w:val="clear"/>
        <w:spacing w:after="120" w:before="0"/>
      </w:pPr>
      <w:r>
        <w:rPr>
          <w:rFonts w:ascii="Aptos Display" w:cs="Aptos Display" w:eastAsia="Aptos Display" w:hAnsi="Aptos Display"/>
          <w:b/>
          <w:bCs/>
          <w:color w:val="1B3A5C"/>
          <w:sz w:val="24"/>
          <w:szCs w:val="24"/>
        </w:rPr>
        <w:t xml:space="preserve">SECTION 5: Fire-Fighting Measures</w:t>
      </w:r>
    </w:p>
    <w:p>
      <w:pPr>
        <w:spacing w:after="100" w:line="300"/>
      </w:pPr>
      <w:r>
        <w:rPr>
          <w:rFonts w:ascii="Aptos" w:cs="Aptos" w:eastAsia="Aptos" w:hAnsi="Aptos"/>
          <w:color w:val="111827"/>
          <w:sz w:val="22"/>
          <w:szCs w:val="22"/>
        </w:rPr>
        <w:t xml:space="preserve">Fires involving this material can be controlled with a dry chemical, carbon dioxide or Halon extinguisher. A water spray may also be used. (NTP, 1992)</w:t>
      </w:r>
    </w:p>
    <w:p>
      <w:pPr>
        <w:spacing w:after="100" w:line="300"/>
      </w:pPr>
      <w:r>
        <w:rPr>
          <w:rFonts w:ascii="Aptos" w:cs="Aptos" w:eastAsia="Aptos" w:hAnsi="Aptos"/>
          <w:color w:val="111827"/>
          <w:sz w:val="22"/>
          <w:szCs w:val="22"/>
        </w:rPr>
        <w:t xml:space="preserve">This chemical is combustible. (NTP, 1992)</w:t>
      </w:r>
    </w:p>
    <w:p>
      <w:pPr>
        <w:spacing w:after="100" w:line="300"/>
      </w:pPr>
      <w:r>
        <w:rPr>
          <w:rFonts w:ascii="Aptos" w:cs="Aptos" w:eastAsia="Aptos" w:hAnsi="Aptos"/>
          <w:color w:val="111827"/>
          <w:sz w:val="22"/>
          <w:szCs w:val="22"/>
        </w:rPr>
        <w:t xml:space="preserve">190 °F (NTP, 1992)</w:t>
      </w:r>
    </w:p>
    <w:p>
      <w:pPr>
        <w:pStyle w:val="ListParagraph"/>
        <w:numPr>
          <w:ilvl w:val="0"/>
          <w:numId w:val="1"/>
        </w:numPr>
        <w:spacing w:after="60" w:line="300"/>
      </w:pPr>
      <w:r>
        <w:rPr>
          <w:rFonts w:ascii="Aptos" w:cs="Aptos" w:eastAsia="Aptos" w:hAnsi="Aptos"/>
          <w:color w:val="111827"/>
          <w:sz w:val="22"/>
          <w:szCs w:val="22"/>
        </w:rPr>
        <w:t xml:space="preserve">Suitable extinguishing media: Use extinguishing media appropriate for the surrounding fire and the quantity involved.</w:t>
      </w:r>
    </w:p>
    <w:p>
      <w:pPr>
        <w:pStyle w:val="ListParagraph"/>
        <w:numPr>
          <w:ilvl w:val="0"/>
          <w:numId w:val="1"/>
        </w:numPr>
        <w:spacing w:after="60" w:line="300"/>
      </w:pPr>
      <w:r>
        <w:rPr>
          <w:rFonts w:ascii="Aptos" w:cs="Aptos" w:eastAsia="Aptos" w:hAnsi="Aptos"/>
          <w:color w:val="111827"/>
          <w:sz w:val="22"/>
          <w:szCs w:val="22"/>
        </w:rPr>
        <w:t xml:space="preserve">Specific hazards: Fire conditions may generate irritating or toxic decomposition fumes depending on the material grade and packaging.</w:t>
      </w:r>
    </w:p>
    <w:p>
      <w:pPr>
        <w:pStyle w:val="ListParagraph"/>
        <w:numPr>
          <w:ilvl w:val="0"/>
          <w:numId w:val="1"/>
        </w:numPr>
        <w:spacing w:after="60" w:line="300"/>
      </w:pPr>
      <w:r>
        <w:rPr>
          <w:rFonts w:ascii="Aptos" w:cs="Aptos" w:eastAsia="Aptos" w:hAnsi="Aptos"/>
          <w:color w:val="111827"/>
          <w:sz w:val="22"/>
          <w:szCs w:val="22"/>
        </w:rPr>
        <w:t xml:space="preserve">Protective equipment for firefighters: Wear self-contained breathing apparatus and full protective gear in enclosed or poorly ventilated areas.</w:t>
      </w:r>
    </w:p>
    <w:p>
      <w:pPr>
        <w:pBdr>
          <w:bottom w:val="single" w:color="1B3A5C" w:sz="4"/>
        </w:pBdr>
        <w:spacing w:after="90" w:before="140"/>
      </w:pPr>
      <w:r>
        <w:t xml:space="preserve"/>
      </w:r>
    </w:p>
    <w:p>
      <w:pPr>
        <w:pStyle w:val="Heading2"/>
        <w:keepNext/>
        <w:keepLines/>
        <w:shd w:fill="E4E7EB" w:color="auto" w:val="clear"/>
        <w:spacing w:after="120" w:before="0"/>
      </w:pPr>
      <w:r>
        <w:rPr>
          <w:rFonts w:ascii="Aptos Display" w:cs="Aptos Display" w:eastAsia="Aptos Display" w:hAnsi="Aptos Display"/>
          <w:b/>
          <w:bCs/>
          <w:color w:val="1B3A5C"/>
          <w:sz w:val="24"/>
          <w:szCs w:val="24"/>
        </w:rPr>
        <w:t xml:space="preserve">SECTION 6: Accidental Release Measures</w:t>
      </w:r>
    </w:p>
    <w:p>
      <w:pPr>
        <w:pStyle w:val="ListParagraph"/>
        <w:numPr>
          <w:ilvl w:val="0"/>
          <w:numId w:val="1"/>
        </w:numPr>
        <w:spacing w:after="60" w:line="300"/>
      </w:pPr>
      <w:r>
        <w:rPr>
          <w:rFonts w:ascii="Aptos" w:cs="Aptos" w:eastAsia="Aptos" w:hAnsi="Aptos"/>
          <w:color w:val="111827"/>
          <w:sz w:val="22"/>
          <w:szCs w:val="22"/>
        </w:rPr>
        <w:t xml:space="preserve">Isolation and Evacuation: Excerpt from ERG Guide 154 [Substances - Toxic and/or Corrosive (Non-Combustible)]: IMMEDIATE PRECAUTIONARY MEASURE: Isolate spill or leak area in all directions for at least 50 meters (150 feet) for liquids and at least 25 meters (75 feet) for solids. SPILL: Increase the immediate precautionary measure distance, in the downwind direction, as necessary. FIRE: If tank, rail tank car or highway tank is involved in a fire, ISOLATE for 800 meters (1/2 mile) in all directions; also, consider initial evacuation for 800 meters (1/2 mile) in all directions. (ERG, 2024)</w:t>
      </w:r>
    </w:p>
    <w:p>
      <w:pPr>
        <w:pStyle w:val="ListParagraph"/>
        <w:numPr>
          <w:ilvl w:val="0"/>
          <w:numId w:val="1"/>
        </w:numPr>
        <w:spacing w:after="60" w:line="300"/>
      </w:pPr>
      <w:r>
        <w:rPr>
          <w:rFonts w:ascii="Aptos" w:cs="Aptos" w:eastAsia="Aptos" w:hAnsi="Aptos"/>
          <w:color w:val="111827"/>
          <w:sz w:val="22"/>
          <w:szCs w:val="22"/>
        </w:rPr>
        <w:t xml:space="preserve">SMALL SPILLS AND LEAKAGE: Should a spill occur while you are handling this chemical, FIRST REMOVE ALL SOURCES OF IGNITION, then you should dampen the solid spill material with 60-70% ethanol and transfer the dampened material to a suitable container. Use absorbent paper dampened with 60-70% ethanol to pick up any remaining material. Seal the absorbent paper, and any of your clothes, which may be contaminated, in a vapor-tight plastic bag for eventual disposal. Solvent wash all contaminated surfaces with 60-70% ethanol followed by washing with a soap and water solution. Do not reenter the contaminated area until the Safety Officer (or other responsible person) has verified that the area has been properly cleaned. STORAGE PRECAUTIONS: You should protect this chemical from exposure to light. Keep the container tightly closed under an inert atmosphere, and store under refrigerated temperatures. (NTP, 1992)</w:t>
      </w:r>
    </w:p>
    <w:p>
      <w:pPr>
        <w:pStyle w:val="ListParagraph"/>
        <w:numPr>
          <w:ilvl w:val="0"/>
          <w:numId w:val="1"/>
        </w:numPr>
        <w:spacing w:after="60" w:line="300"/>
      </w:pPr>
      <w:r>
        <w:rPr>
          <w:rFonts w:ascii="Aptos" w:cs="Aptos" w:eastAsia="Aptos" w:hAnsi="Aptos"/>
          <w:color w:val="111827"/>
          <w:sz w:val="22"/>
          <w:szCs w:val="22"/>
        </w:rPr>
        <w:t xml:space="preserve">Personal precautions: Isolate the spill area, provide ventilation, and avoid unnecessary exposure during cleanup.</w:t>
      </w:r>
    </w:p>
    <w:p>
      <w:pPr>
        <w:pStyle w:val="ListParagraph"/>
        <w:numPr>
          <w:ilvl w:val="0"/>
          <w:numId w:val="1"/>
        </w:numPr>
        <w:spacing w:after="60" w:line="300"/>
      </w:pPr>
      <w:r>
        <w:rPr>
          <w:rFonts w:ascii="Aptos" w:cs="Aptos" w:eastAsia="Aptos" w:hAnsi="Aptos"/>
          <w:color w:val="111827"/>
          <w:sz w:val="22"/>
          <w:szCs w:val="22"/>
        </w:rPr>
        <w:t xml:space="preserve">Containment and cleanup: Avoid dust generation, collect residue carefully, and place in a compatible sealed container.</w:t>
      </w:r>
    </w:p>
    <w:p>
      <w:pPr>
        <w:pStyle w:val="ListParagraph"/>
        <w:numPr>
          <w:ilvl w:val="0"/>
          <w:numId w:val="1"/>
        </w:numPr>
        <w:spacing w:after="60" w:line="300"/>
      </w:pPr>
      <w:r>
        <w:rPr>
          <w:rFonts w:ascii="Aptos" w:cs="Aptos" w:eastAsia="Aptos" w:hAnsi="Aptos"/>
          <w:color w:val="111827"/>
          <w:sz w:val="22"/>
          <w:szCs w:val="22"/>
        </w:rPr>
        <w:t xml:space="preserve">Environmental precautions: Prevent the material from reaching drains, soil, or surface water until disposal arrangements are in place.</w:t>
      </w:r>
    </w:p>
    <w:p>
      <w:pPr>
        <w:pBdr>
          <w:bottom w:val="single" w:color="1B3A5C" w:sz="4"/>
        </w:pBdr>
        <w:spacing w:after="90" w:before="140"/>
      </w:pPr>
      <w:r>
        <w:t xml:space="preserve"/>
      </w:r>
    </w:p>
    <w:p>
      <w:pPr>
        <w:pStyle w:val="Heading2"/>
        <w:keepNext/>
        <w:keepLines/>
        <w:shd w:fill="E4E7EB" w:color="auto" w:val="clear"/>
        <w:spacing w:after="120" w:before="0"/>
      </w:pPr>
      <w:r>
        <w:rPr>
          <w:rFonts w:ascii="Aptos Display" w:cs="Aptos Display" w:eastAsia="Aptos Display" w:hAnsi="Aptos Display"/>
          <w:b/>
          <w:bCs/>
          <w:color w:val="1B3A5C"/>
          <w:sz w:val="24"/>
          <w:szCs w:val="24"/>
        </w:rPr>
        <w:t xml:space="preserve">SECTION 7: Handling and Storage</w:t>
      </w:r>
    </w:p>
    <w:p>
      <w:pPr>
        <w:pStyle w:val="ListParagraph"/>
        <w:numPr>
          <w:ilvl w:val="0"/>
          <w:numId w:val="1"/>
        </w:numPr>
        <w:spacing w:after="60" w:line="300"/>
      </w:pPr>
      <w:r>
        <w:rPr>
          <w:rFonts w:ascii="Aptos" w:cs="Aptos" w:eastAsia="Aptos" w:hAnsi="Aptos"/>
          <w:color w:val="111827"/>
          <w:sz w:val="22"/>
          <w:szCs w:val="22"/>
        </w:rPr>
        <w:t xml:space="preserve">Nonfire Spill Response: SMALL SPILLS AND LEAKAGE: Should a spill occur while you are handling this chemical, FIRST REMOVE ALL SOURCES OF IGNITION, then you should dampen the solid spill material with 60-70% ethanol and transfer the dampened material to a suitable container. Use absorbent paper dampened with 60-70% ethanol to pick up any remaining material. Seal the absorbent paper, and any of your clothes, which may be contaminated, in a vapor-tight plastic bag for eventual disposal. Solvent wash all contaminated surfaces with 60-70% ethanol followed by washing with a soap and water solution. Do not reenter the contaminated area until the Safety Officer (or other responsible person) has verified that the area has been properly cleaned. STORAGE PRECAUTIONS: You should protect this chemical from exposure to light. Keep the container tightly closed under an inert atmosphere, and store under refrigerated temperatures. (NTP, 1992)</w:t>
      </w:r>
    </w:p>
    <w:p>
      <w:pPr>
        <w:pStyle w:val="ListParagraph"/>
        <w:numPr>
          <w:ilvl w:val="0"/>
          <w:numId w:val="1"/>
        </w:numPr>
        <w:spacing w:after="60" w:line="300"/>
      </w:pPr>
      <w:r>
        <w:rPr>
          <w:rFonts w:ascii="Aptos" w:cs="Aptos" w:eastAsia="Aptos" w:hAnsi="Aptos"/>
          <w:color w:val="111827"/>
          <w:sz w:val="22"/>
          <w:szCs w:val="22"/>
        </w:rPr>
        <w:t xml:space="preserve">CSL Reaction Information - CSL No: CSL00161</w:t>
      </w:r>
    </w:p>
    <w:p>
      <w:pPr>
        <w:pStyle w:val="ListParagraph"/>
        <w:numPr>
          <w:ilvl w:val="0"/>
          <w:numId w:val="1"/>
        </w:numPr>
        <w:spacing w:after="60" w:line="300"/>
      </w:pPr>
      <w:r>
        <w:rPr>
          <w:rFonts w:ascii="Aptos" w:cs="Aptos" w:eastAsia="Aptos" w:hAnsi="Aptos"/>
          <w:color w:val="111827"/>
          <w:sz w:val="22"/>
          <w:szCs w:val="22"/>
        </w:rPr>
        <w:t xml:space="preserve">CSL Reaction Information - Reactants/Reagents: Chlorosulfonic acid + 4-Chlorobenzaldehyde</w:t>
      </w:r>
    </w:p>
    <w:p>
      <w:pPr>
        <w:pStyle w:val="ListParagraph"/>
        <w:numPr>
          <w:ilvl w:val="0"/>
          <w:numId w:val="1"/>
        </w:numPr>
        <w:spacing w:after="60" w:line="300"/>
      </w:pPr>
      <w:r>
        <w:rPr>
          <w:rFonts w:ascii="Aptos" w:cs="Aptos" w:eastAsia="Aptos" w:hAnsi="Aptos"/>
          <w:color w:val="111827"/>
          <w:sz w:val="22"/>
          <w:szCs w:val="22"/>
        </w:rPr>
        <w:t xml:space="preserve">CSL Reaction Information - Warning Message: Reaction resulted in an explosion.</w:t>
      </w:r>
    </w:p>
    <w:p>
      <w:pPr>
        <w:pStyle w:val="ListParagraph"/>
        <w:numPr>
          <w:ilvl w:val="0"/>
          <w:numId w:val="1"/>
        </w:numPr>
        <w:spacing w:after="60" w:line="300"/>
      </w:pPr>
      <w:r>
        <w:rPr>
          <w:rFonts w:ascii="Aptos" w:cs="Aptos" w:eastAsia="Aptos" w:hAnsi="Aptos"/>
          <w:color w:val="111827"/>
          <w:sz w:val="22"/>
          <w:szCs w:val="22"/>
        </w:rPr>
        <w:t xml:space="preserve">CSL Reaction Information - GHS Category: Explosive</w:t>
      </w:r>
    </w:p>
    <w:p>
      <w:pPr>
        <w:pStyle w:val="ListParagraph"/>
        <w:numPr>
          <w:ilvl w:val="0"/>
          <w:numId w:val="1"/>
        </w:numPr>
        <w:spacing w:after="60" w:line="300"/>
      </w:pPr>
      <w:r>
        <w:rPr>
          <w:rFonts w:ascii="Aptos" w:cs="Aptos" w:eastAsia="Aptos" w:hAnsi="Aptos"/>
          <w:color w:val="111827"/>
          <w:sz w:val="22"/>
          <w:szCs w:val="22"/>
        </w:rPr>
        <w:t xml:space="preserve">CSL Reaction Information - Reaction Scale: Not Available</w:t>
      </w:r>
    </w:p>
    <w:p>
      <w:pPr>
        <w:pStyle w:val="ListParagraph"/>
        <w:numPr>
          <w:ilvl w:val="0"/>
          <w:numId w:val="1"/>
        </w:numPr>
        <w:spacing w:after="60" w:line="300"/>
      </w:pPr>
      <w:r>
        <w:rPr>
          <w:rFonts w:ascii="Aptos" w:cs="Aptos" w:eastAsia="Aptos" w:hAnsi="Aptos"/>
          <w:color w:val="111827"/>
          <w:sz w:val="22"/>
          <w:szCs w:val="22"/>
        </w:rPr>
        <w:t xml:space="preserve">CSL Reaction Information - Reference Source: User Reported</w:t>
      </w:r>
    </w:p>
    <w:p>
      <w:pPr>
        <w:pStyle w:val="ListParagraph"/>
        <w:numPr>
          <w:ilvl w:val="0"/>
          <w:numId w:val="1"/>
        </w:numPr>
        <w:spacing w:after="60" w:line="300"/>
      </w:pPr>
      <w:r>
        <w:rPr>
          <w:rFonts w:ascii="Aptos" w:cs="Aptos" w:eastAsia="Aptos" w:hAnsi="Aptos"/>
          <w:color w:val="111827"/>
          <w:sz w:val="22"/>
          <w:szCs w:val="22"/>
        </w:rPr>
        <w:t xml:space="preserve">CSL Reaction Information - Modified Date: 04/22/2022</w:t>
      </w:r>
    </w:p>
    <w:p>
      <w:pPr>
        <w:pStyle w:val="ListParagraph"/>
        <w:numPr>
          <w:ilvl w:val="0"/>
          <w:numId w:val="1"/>
        </w:numPr>
        <w:spacing w:after="60" w:line="300"/>
      </w:pPr>
      <w:r>
        <w:rPr>
          <w:rFonts w:ascii="Aptos" w:cs="Aptos" w:eastAsia="Aptos" w:hAnsi="Aptos"/>
          <w:color w:val="111827"/>
          <w:sz w:val="22"/>
          <w:szCs w:val="22"/>
        </w:rPr>
        <w:t xml:space="preserve">CSL Reaction Information - Create Date: 04/21/2022</w:t>
      </w:r>
    </w:p>
    <w:p>
      <w:pPr>
        <w:pBdr>
          <w:bottom w:val="single" w:color="1B3A5C" w:sz="4"/>
        </w:pBdr>
        <w:spacing w:after="90" w:before="140"/>
      </w:pPr>
      <w:r>
        <w:t xml:space="preserve"/>
      </w:r>
    </w:p>
    <w:p>
      <w:pPr>
        <w:pStyle w:val="Heading2"/>
        <w:keepNext/>
        <w:keepLines/>
        <w:shd w:fill="E4E7EB" w:color="auto" w:val="clear"/>
        <w:spacing w:after="120" w:before="0"/>
      </w:pPr>
      <w:r>
        <w:rPr>
          <w:rFonts w:ascii="Aptos Display" w:cs="Aptos Display" w:eastAsia="Aptos Display" w:hAnsi="Aptos Display"/>
          <w:b/>
          <w:bCs/>
          <w:color w:val="1B3A5C"/>
          <w:sz w:val="24"/>
          <w:szCs w:val="24"/>
        </w:rPr>
        <w:t xml:space="preserve">SECTION 8: Exposure Controls / Personal Protection</w:t>
      </w:r>
    </w:p>
    <w:tbl>
      <w:tblPr>
        <w:tblW w:type="dxa" w:w="10224"/>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384"/>
        <w:gridCol w:w="6840"/>
      </w:tblGrid>
      <w:tr>
        <w:tc>
          <w:tcPr>
            <w:tcW w:type="dxa" w:w="3384"/>
            <w:tcBorders>
              <w:top w:val="single" w:color="CBD2DA" w:sz="4"/>
              <w:left w:val="single" w:color="CBD2DA" w:sz="4"/>
              <w:bottom w:val="single" w:color="1B3A5C" w:sz="6"/>
              <w:right w:val="single" w:color="CBD2DA" w:sz="4"/>
            </w:tcBorders>
            <w:shd w:fill="E4E7EB" w:color="auto" w:val="clear"/>
            <w:tcMar>
              <w:top w:type="dxa" w:w="90"/>
              <w:left w:type="dxa" w:w="100"/>
              <w:bottom w:type="dxa" w:w="90"/>
              <w:right w:type="dxa" w:w="100"/>
            </w:tcMar>
          </w:tcPr>
          <w:p>
            <w:r>
              <w:rPr>
                <w:rFonts w:ascii="Aptos" w:cs="Aptos" w:eastAsia="Aptos" w:hAnsi="Aptos"/>
                <w:b/>
                <w:bCs/>
                <w:color w:val="1B3A5C"/>
                <w:sz w:val="20"/>
                <w:szCs w:val="20"/>
              </w:rPr>
              <w:t xml:space="preserve">Property</w:t>
            </w:r>
          </w:p>
        </w:tc>
        <w:tc>
          <w:tcPr>
            <w:tcW w:type="dxa" w:w="6840"/>
            <w:tcBorders>
              <w:top w:val="single" w:color="CBD2DA" w:sz="4"/>
              <w:left w:val="single" w:color="CBD2DA" w:sz="4"/>
              <w:bottom w:val="single" w:color="1B3A5C" w:sz="6"/>
              <w:right w:val="single" w:color="CBD2DA" w:sz="4"/>
            </w:tcBorders>
            <w:shd w:fill="E4E7EB" w:color="auto" w:val="clear"/>
            <w:tcMar>
              <w:top w:type="dxa" w:w="90"/>
              <w:left w:type="dxa" w:w="100"/>
              <w:bottom w:type="dxa" w:w="90"/>
              <w:right w:type="dxa" w:w="100"/>
            </w:tcMar>
          </w:tcPr>
          <w:p>
            <w:r>
              <w:rPr>
                <w:rFonts w:ascii="Aptos" w:cs="Aptos" w:eastAsia="Aptos" w:hAnsi="Aptos"/>
                <w:b/>
                <w:bCs/>
                <w:color w:val="1B3A5C"/>
                <w:sz w:val="20"/>
                <w:szCs w:val="20"/>
              </w:rPr>
              <w:t xml:space="preserve">Details</w:t>
            </w:r>
          </w:p>
        </w:tc>
      </w:tr>
      <w:tr>
        <w:tc>
          <w:tcPr>
            <w:tcW w:type="dxa" w:w="3384"/>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bCs/>
                <w:color w:val="111827"/>
                <w:sz w:val="20"/>
                <w:szCs w:val="20"/>
              </w:rPr>
              <w:t xml:space="preserve">Personal Protective Equipment (PPE)</w:t>
            </w:r>
          </w:p>
        </w:tc>
        <w:tc>
          <w:tcPr>
            <w:tcW w:type="dxa" w:w="6840"/>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val="false"/>
                <w:bCs w:val="false"/>
                <w:color w:val="111827"/>
                <w:sz w:val="20"/>
                <w:szCs w:val="20"/>
              </w:rPr>
              <w:t xml:space="preserve">RECOMMENDED RESPIRATOR: Where the neat test chemical is weighed and diluted, wear a NIOSH-approved half face respirator equipped with an organic vapor/acid gas cartridge (specific for organic vapors, HCl, acid gas and SO2) with a dust/mist filter. (NTP, 1992)</w:t>
            </w:r>
          </w:p>
        </w:tc>
      </w:tr>
      <w:tr>
        <w:tc>
          <w:tcPr>
            <w:tcW w:type="dxa" w:w="3384"/>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bCs/>
                <w:color w:val="111827"/>
                <w:sz w:val="20"/>
                <w:szCs w:val="20"/>
              </w:rPr>
              <w:t xml:space="preserve">Engineering controls</w:t>
            </w:r>
          </w:p>
        </w:tc>
        <w:tc>
          <w:tcPr>
            <w:tcW w:type="dxa" w:w="6840"/>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val="false"/>
                <w:bCs w:val="false"/>
                <w:color w:val="111827"/>
                <w:sz w:val="20"/>
                <w:szCs w:val="20"/>
              </w:rPr>
              <w:t xml:space="preserve">Provide local exhaust or process enclosure where airborne exposure can occur.</w:t>
            </w:r>
          </w:p>
        </w:tc>
      </w:tr>
      <w:tr>
        <w:tc>
          <w:tcPr>
            <w:tcW w:type="dxa" w:w="3384"/>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bCs/>
                <w:color w:val="111827"/>
                <w:sz w:val="20"/>
                <w:szCs w:val="20"/>
              </w:rPr>
              <w:t xml:space="preserve">Eye/face protection</w:t>
            </w:r>
          </w:p>
        </w:tc>
        <w:tc>
          <w:tcPr>
            <w:tcW w:type="dxa" w:w="6840"/>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val="false"/>
                <w:bCs w:val="false"/>
                <w:color w:val="111827"/>
                <w:sz w:val="20"/>
                <w:szCs w:val="20"/>
              </w:rPr>
              <w:t xml:space="preserve">Chemical splash goggles and a face shield are recommended.</w:t>
            </w:r>
          </w:p>
        </w:tc>
      </w:tr>
      <w:tr>
        <w:tc>
          <w:tcPr>
            <w:tcW w:type="dxa" w:w="3384"/>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bCs/>
                <w:color w:val="111827"/>
                <w:sz w:val="20"/>
                <w:szCs w:val="20"/>
              </w:rPr>
              <w:t xml:space="preserve">Skin protection</w:t>
            </w:r>
          </w:p>
        </w:tc>
        <w:tc>
          <w:tcPr>
            <w:tcW w:type="dxa" w:w="6840"/>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val="false"/>
                <w:bCs w:val="false"/>
                <w:color w:val="111827"/>
                <w:sz w:val="20"/>
                <w:szCs w:val="20"/>
              </w:rPr>
              <w:t xml:space="preserve">Wear compatible chemical-resistant gloves and protective clothing suitable for the process conditions.</w:t>
            </w:r>
          </w:p>
        </w:tc>
      </w:tr>
      <w:tr>
        <w:tc>
          <w:tcPr>
            <w:tcW w:type="dxa" w:w="3384"/>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bCs/>
                <w:color w:val="111827"/>
                <w:sz w:val="20"/>
                <w:szCs w:val="20"/>
              </w:rPr>
              <w:t xml:space="preserve">Respiratory protection</w:t>
            </w:r>
          </w:p>
        </w:tc>
        <w:tc>
          <w:tcPr>
            <w:tcW w:type="dxa" w:w="6840"/>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val="false"/>
                <w:bCs w:val="false"/>
                <w:color w:val="111827"/>
                <w:sz w:val="20"/>
                <w:szCs w:val="20"/>
              </w:rPr>
              <w:t xml:space="preserve">Use a task-appropriate respirator if ventilation is inadequate or if exposure may exceed applicable limits.</w:t>
            </w:r>
          </w:p>
        </w:tc>
      </w:tr>
      <w:tr>
        <w:tc>
          <w:tcPr>
            <w:tcW w:type="dxa" w:w="3384"/>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bCs/>
                <w:color w:val="111827"/>
                <w:sz w:val="20"/>
                <w:szCs w:val="20"/>
              </w:rPr>
              <w:t xml:space="preserve">Hygiene measures</w:t>
            </w:r>
          </w:p>
        </w:tc>
        <w:tc>
          <w:tcPr>
            <w:tcW w:type="dxa" w:w="6840"/>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val="false"/>
                <w:bCs w:val="false"/>
                <w:color w:val="111827"/>
                <w:sz w:val="20"/>
                <w:szCs w:val="20"/>
              </w:rPr>
              <w:t xml:space="preserve">Wash thoroughly after handling and avoid eating, drinking, or smoking in the work area.</w:t>
            </w:r>
          </w:p>
        </w:tc>
      </w:tr>
    </w:tbl>
    <w:p>
      <w:pPr>
        <w:pBdr>
          <w:bottom w:val="single" w:color="1B3A5C" w:sz="4"/>
        </w:pBdr>
        <w:spacing w:after="90" w:before="140"/>
      </w:pPr>
      <w:r>
        <w:t xml:space="preserve"/>
      </w:r>
    </w:p>
    <w:p>
      <w:pPr>
        <w:pStyle w:val="Heading2"/>
        <w:keepNext/>
        <w:keepLines/>
        <w:shd w:fill="E4E7EB" w:color="auto" w:val="clear"/>
        <w:spacing w:after="120" w:before="0"/>
      </w:pPr>
      <w:r>
        <w:rPr>
          <w:rFonts w:ascii="Aptos Display" w:cs="Aptos Display" w:eastAsia="Aptos Display" w:hAnsi="Aptos Display"/>
          <w:b/>
          <w:bCs/>
          <w:color w:val="1B3A5C"/>
          <w:sz w:val="24"/>
          <w:szCs w:val="24"/>
        </w:rPr>
        <w:t xml:space="preserve">SECTION 9: Physical and Chemical Properties</w:t>
      </w:r>
    </w:p>
    <w:tbl>
      <w:tblPr>
        <w:tblW w:type="dxa" w:w="10224"/>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384"/>
        <w:gridCol w:w="6840"/>
      </w:tblGrid>
      <w:tr>
        <w:tc>
          <w:tcPr>
            <w:tcW w:type="dxa" w:w="3384"/>
            <w:tcBorders>
              <w:top w:val="single" w:color="CBD2DA" w:sz="4"/>
              <w:left w:val="single" w:color="CBD2DA" w:sz="4"/>
              <w:bottom w:val="single" w:color="1B3A5C" w:sz="6"/>
              <w:right w:val="single" w:color="CBD2DA" w:sz="4"/>
            </w:tcBorders>
            <w:shd w:fill="E4E7EB" w:color="auto" w:val="clear"/>
            <w:tcMar>
              <w:top w:type="dxa" w:w="90"/>
              <w:left w:type="dxa" w:w="100"/>
              <w:bottom w:type="dxa" w:w="90"/>
              <w:right w:type="dxa" w:w="100"/>
            </w:tcMar>
          </w:tcPr>
          <w:p>
            <w:r>
              <w:rPr>
                <w:rFonts w:ascii="Aptos" w:cs="Aptos" w:eastAsia="Aptos" w:hAnsi="Aptos"/>
                <w:b/>
                <w:bCs/>
                <w:color w:val="1B3A5C"/>
                <w:sz w:val="20"/>
                <w:szCs w:val="20"/>
              </w:rPr>
              <w:t xml:space="preserve">Property</w:t>
            </w:r>
          </w:p>
        </w:tc>
        <w:tc>
          <w:tcPr>
            <w:tcW w:type="dxa" w:w="6840"/>
            <w:tcBorders>
              <w:top w:val="single" w:color="CBD2DA" w:sz="4"/>
              <w:left w:val="single" w:color="CBD2DA" w:sz="4"/>
              <w:bottom w:val="single" w:color="1B3A5C" w:sz="6"/>
              <w:right w:val="single" w:color="CBD2DA" w:sz="4"/>
            </w:tcBorders>
            <w:shd w:fill="E4E7EB" w:color="auto" w:val="clear"/>
            <w:tcMar>
              <w:top w:type="dxa" w:w="90"/>
              <w:left w:type="dxa" w:w="100"/>
              <w:bottom w:type="dxa" w:w="90"/>
              <w:right w:type="dxa" w:w="100"/>
            </w:tcMar>
          </w:tcPr>
          <w:p>
            <w:r>
              <w:rPr>
                <w:rFonts w:ascii="Aptos" w:cs="Aptos" w:eastAsia="Aptos" w:hAnsi="Aptos"/>
                <w:b/>
                <w:bCs/>
                <w:color w:val="1B3A5C"/>
                <w:sz w:val="20"/>
                <w:szCs w:val="20"/>
              </w:rPr>
              <w:t xml:space="preserve">Details</w:t>
            </w:r>
          </w:p>
        </w:tc>
      </w:tr>
      <w:tr>
        <w:tc>
          <w:tcPr>
            <w:tcW w:type="dxa" w:w="3384"/>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bCs/>
                <w:color w:val="111827"/>
                <w:sz w:val="20"/>
                <w:szCs w:val="20"/>
              </w:rPr>
              <w:t xml:space="preserve">Molecular formula</w:t>
            </w:r>
          </w:p>
        </w:tc>
        <w:tc>
          <w:tcPr>
            <w:tcW w:type="dxa" w:w="6840"/>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val="false"/>
                <w:bCs w:val="false"/>
                <w:color w:val="111827"/>
                <w:sz w:val="20"/>
                <w:szCs w:val="20"/>
              </w:rPr>
              <w:t xml:space="preserve">C7H5ClO [Estimated based on structural analog: 4-Chlorobenzaldehyde, CAS 104-88-1, Tanimoto similarity: ~0.78]</w:t>
            </w:r>
          </w:p>
        </w:tc>
      </w:tr>
      <w:tr>
        <w:tc>
          <w:tcPr>
            <w:tcW w:type="dxa" w:w="3384"/>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bCs/>
                <w:color w:val="111827"/>
                <w:sz w:val="20"/>
                <w:szCs w:val="20"/>
              </w:rPr>
              <w:t xml:space="preserve">Molecular weight</w:t>
            </w:r>
          </w:p>
        </w:tc>
        <w:tc>
          <w:tcPr>
            <w:tcW w:type="dxa" w:w="6840"/>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val="false"/>
                <w:bCs w:val="false"/>
                <w:color w:val="111827"/>
                <w:sz w:val="20"/>
                <w:szCs w:val="20"/>
              </w:rPr>
              <w:t xml:space="preserve">140.56 [Estimated based on structural analog: 4-Chlorobenzaldehyde, CAS 104-88-1, Tanimoto similarity: ~0.78]</w:t>
            </w:r>
          </w:p>
        </w:tc>
      </w:tr>
      <w:tr>
        <w:tc>
          <w:tcPr>
            <w:tcW w:type="dxa" w:w="3384"/>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bCs/>
                <w:color w:val="111827"/>
                <w:sz w:val="20"/>
                <w:szCs w:val="20"/>
              </w:rPr>
              <w:t xml:space="preserve">Partition coefficient (XLogP)</w:t>
            </w:r>
          </w:p>
        </w:tc>
        <w:tc>
          <w:tcPr>
            <w:tcW w:type="dxa" w:w="6840"/>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val="false"/>
                <w:bCs w:val="false"/>
                <w:color w:val="111827"/>
                <w:sz w:val="20"/>
                <w:szCs w:val="20"/>
              </w:rPr>
              <w:t xml:space="preserve">2.1 [Estimated based on structural analog: 4-Chlorobenzaldehyde, CAS 104-88-1, Tanimoto similarity: ~0.78]</w:t>
            </w:r>
          </w:p>
        </w:tc>
      </w:tr>
      <w:tr>
        <w:tc>
          <w:tcPr>
            <w:tcW w:type="dxa" w:w="3384"/>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bCs/>
                <w:color w:val="111827"/>
                <w:sz w:val="20"/>
                <w:szCs w:val="20"/>
              </w:rPr>
              <w:t xml:space="preserve">Topological polar surface area (TPSA)</w:t>
            </w:r>
          </w:p>
        </w:tc>
        <w:tc>
          <w:tcPr>
            <w:tcW w:type="dxa" w:w="6840"/>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val="false"/>
                <w:bCs w:val="false"/>
                <w:color w:val="111827"/>
                <w:sz w:val="20"/>
                <w:szCs w:val="20"/>
              </w:rPr>
              <w:t xml:space="preserve">17.1 [Estimated based on structural analog: 4-Chlorobenzaldehyde, CAS 104-88-1, Tanimoto similarity: ~0.78]</w:t>
            </w:r>
          </w:p>
        </w:tc>
      </w:tr>
      <w:tr>
        <w:tc>
          <w:tcPr>
            <w:tcW w:type="dxa" w:w="3384"/>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bCs/>
                <w:color w:val="111827"/>
                <w:sz w:val="20"/>
                <w:szCs w:val="20"/>
              </w:rPr>
              <w:t xml:space="preserve">Exact mass</w:t>
            </w:r>
          </w:p>
        </w:tc>
        <w:tc>
          <w:tcPr>
            <w:tcW w:type="dxa" w:w="6840"/>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val="false"/>
                <w:bCs w:val="false"/>
                <w:color w:val="111827"/>
                <w:sz w:val="20"/>
                <w:szCs w:val="20"/>
              </w:rPr>
              <w:t xml:space="preserve">140.0028925 [Estimated based on structural analog: 4-Chlorobenzaldehyde, CAS 104-88-1, Tanimoto similarity: ~0.78]</w:t>
            </w:r>
          </w:p>
        </w:tc>
      </w:tr>
      <w:tr>
        <w:tc>
          <w:tcPr>
            <w:tcW w:type="dxa" w:w="3384"/>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bCs/>
                <w:color w:val="111827"/>
                <w:sz w:val="20"/>
                <w:szCs w:val="20"/>
              </w:rPr>
              <w:t xml:space="preserve">Monoisotopic mass</w:t>
            </w:r>
          </w:p>
        </w:tc>
        <w:tc>
          <w:tcPr>
            <w:tcW w:type="dxa" w:w="6840"/>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val="false"/>
                <w:bCs w:val="false"/>
                <w:color w:val="111827"/>
                <w:sz w:val="20"/>
                <w:szCs w:val="20"/>
              </w:rPr>
              <w:t xml:space="preserve">140.0028925 [Estimated based on structural analog: 4-Chlorobenzaldehyde, CAS 104-88-1, Tanimoto similarity: ~0.78]</w:t>
            </w:r>
          </w:p>
        </w:tc>
      </w:tr>
      <w:tr>
        <w:tc>
          <w:tcPr>
            <w:tcW w:type="dxa" w:w="3384"/>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bCs/>
                <w:color w:val="111827"/>
                <w:sz w:val="20"/>
                <w:szCs w:val="20"/>
              </w:rPr>
              <w:t xml:space="preserve">Hydrogen bond donor count</w:t>
            </w:r>
          </w:p>
        </w:tc>
        <w:tc>
          <w:tcPr>
            <w:tcW w:type="dxa" w:w="6840"/>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val="false"/>
                <w:bCs w:val="false"/>
                <w:color w:val="111827"/>
                <w:sz w:val="20"/>
                <w:szCs w:val="20"/>
              </w:rPr>
              <w:t xml:space="preserve">0 [Estimated based on structural analog: 4-Chlorobenzaldehyde, CAS 104-88-1, Tanimoto similarity: ~0.78]</w:t>
            </w:r>
          </w:p>
        </w:tc>
      </w:tr>
      <w:tr>
        <w:tc>
          <w:tcPr>
            <w:tcW w:type="dxa" w:w="3384"/>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bCs/>
                <w:color w:val="111827"/>
                <w:sz w:val="20"/>
                <w:szCs w:val="20"/>
              </w:rPr>
              <w:t xml:space="preserve">Hydrogen bond acceptor count</w:t>
            </w:r>
          </w:p>
        </w:tc>
        <w:tc>
          <w:tcPr>
            <w:tcW w:type="dxa" w:w="6840"/>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val="false"/>
                <w:bCs w:val="false"/>
                <w:color w:val="111827"/>
                <w:sz w:val="20"/>
                <w:szCs w:val="20"/>
              </w:rPr>
              <w:t xml:space="preserve">1 [Estimated based on structural analog: 4-Chlorobenzaldehyde, CAS 104-88-1, Tanimoto similarity: ~0.78]</w:t>
            </w:r>
          </w:p>
        </w:tc>
      </w:tr>
      <w:tr>
        <w:tc>
          <w:tcPr>
            <w:tcW w:type="dxa" w:w="3384"/>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bCs/>
                <w:color w:val="111827"/>
                <w:sz w:val="20"/>
                <w:szCs w:val="20"/>
              </w:rPr>
              <w:t xml:space="preserve">111 to 117 °F (NTP, 1992) [Estimated based on structural analog</w:t>
            </w:r>
          </w:p>
        </w:tc>
        <w:tc>
          <w:tcPr>
            <w:tcW w:type="dxa" w:w="6840"/>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val="false"/>
                <w:bCs w:val="false"/>
                <w:color w:val="111827"/>
                <w:sz w:val="20"/>
                <w:szCs w:val="20"/>
              </w:rPr>
              <w:t xml:space="preserve">4-Chlorobenzaldehyde, CAS 104-88-1, Tanimoto similarity: ~0.78]</w:t>
            </w:r>
          </w:p>
        </w:tc>
      </w:tr>
      <w:tr>
        <w:tc>
          <w:tcPr>
            <w:tcW w:type="dxa" w:w="3384"/>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bCs/>
                <w:color w:val="111827"/>
                <w:sz w:val="20"/>
                <w:szCs w:val="20"/>
              </w:rPr>
              <w:t xml:space="preserve">190 °F (NTP, 1992) [Estimated based on structural analog</w:t>
            </w:r>
          </w:p>
        </w:tc>
        <w:tc>
          <w:tcPr>
            <w:tcW w:type="dxa" w:w="6840"/>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val="false"/>
                <w:bCs w:val="false"/>
                <w:color w:val="111827"/>
                <w:sz w:val="20"/>
                <w:szCs w:val="20"/>
              </w:rPr>
              <w:t xml:space="preserve">4-Chlorobenzaldehyde, CAS 104-88-1, Tanimoto similarity: ~0.78]</w:t>
            </w:r>
          </w:p>
        </w:tc>
      </w:tr>
      <w:tr>
        <w:tc>
          <w:tcPr>
            <w:tcW w:type="dxa" w:w="3384"/>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bCs/>
                <w:color w:val="111827"/>
                <w:sz w:val="20"/>
                <w:szCs w:val="20"/>
              </w:rPr>
              <w:t xml:space="preserve">0.18 [mmHg] [Estimated based on structural analog</w:t>
            </w:r>
          </w:p>
        </w:tc>
        <w:tc>
          <w:tcPr>
            <w:tcW w:type="dxa" w:w="6840"/>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val="false"/>
                <w:bCs w:val="false"/>
                <w:color w:val="111827"/>
                <w:sz w:val="20"/>
                <w:szCs w:val="20"/>
              </w:rPr>
              <w:t xml:space="preserve">4-Chlorobenzaldehyde, CAS 104-88-1, Tanimoto similarity: ~0.78]</w:t>
            </w:r>
          </w:p>
        </w:tc>
      </w:tr>
    </w:tbl>
    <w:p>
      <w:pPr>
        <w:spacing w:after="100" w:line="300"/>
      </w:pPr>
      <w:r>
        <w:rPr>
          <w:rFonts w:ascii="Aptos" w:cs="Aptos" w:eastAsia="Aptos" w:hAnsi="Aptos"/>
          <w:color w:val="111827"/>
          <w:sz w:val="22"/>
          <w:szCs w:val="22"/>
        </w:rPr>
        <w:t xml:space="preserve">4-chlorobenzaldehyde appears as colorless to yellow powder or white crystalline solid. Pungent odor. (NTP, 1992) [Estimated based on structural analog: 4-Chlorobenzaldehyde, CAS 104-88-1, Tanimoto similarity: ~0.78]</w:t>
      </w:r>
    </w:p>
    <w:p>
      <w:pPr>
        <w:spacing w:after="100" w:line="300"/>
      </w:pPr>
      <w:r>
        <w:rPr>
          <w:rFonts w:ascii="Aptos" w:cs="Aptos" w:eastAsia="Aptos" w:hAnsi="Aptos"/>
          <w:color w:val="111827"/>
          <w:sz w:val="22"/>
          <w:szCs w:val="22"/>
        </w:rPr>
        <w:t xml:space="preserve">Colorless to yellow solid with a pungent odor; [CAMEO] Beige crystalline solid; [Sigma-Aldrich MSDS] [Estimated based on structural analog: 4-Chlorobenzaldehyde, CAS 104-88-1, Tanimoto similarity: ~0.78]</w:t>
      </w:r>
    </w:p>
    <w:p>
      <w:pPr>
        <w:spacing w:after="100" w:line="300"/>
      </w:pPr>
      <w:r>
        <w:rPr>
          <w:rFonts w:ascii="Aptos" w:cs="Aptos" w:eastAsia="Aptos" w:hAnsi="Aptos"/>
          <w:color w:val="111827"/>
          <w:sz w:val="22"/>
          <w:szCs w:val="22"/>
        </w:rPr>
        <w:t xml:space="preserve">415 to 417 °F at 760 mmHg (NTP, 1992) [Estimated based on structural analog: 4-Chlorobenzaldehyde, CAS 104-88-1, Tanimoto similarity: ~0.78]</w:t>
      </w:r>
    </w:p>
    <w:p>
      <w:pPr>
        <w:spacing w:after="100" w:line="300"/>
      </w:pPr>
      <w:r>
        <w:rPr>
          <w:rFonts w:ascii="Aptos" w:cs="Aptos" w:eastAsia="Aptos" w:hAnsi="Aptos"/>
          <w:color w:val="111827"/>
          <w:sz w:val="22"/>
          <w:szCs w:val="22"/>
        </w:rPr>
        <w:t xml:space="preserve">less than 1 mg/mL at 67.1 °F (NTP, 1992) [Estimated based on structural analog: 4-Chlorobenzaldehyde, CAS 104-88-1, Tanimoto similarity: ~0.78]</w:t>
      </w:r>
    </w:p>
    <w:p>
      <w:pPr>
        <w:spacing w:after="100" w:line="300"/>
      </w:pPr>
      <w:r>
        <w:rPr>
          <w:rFonts w:ascii="Aptos" w:cs="Aptos" w:eastAsia="Aptos" w:hAnsi="Aptos"/>
          <w:color w:val="111827"/>
          <w:sz w:val="22"/>
          <w:szCs w:val="22"/>
        </w:rPr>
        <w:t xml:space="preserve">1.196 at 142 °F (NTP, 1992) - Denser than water; will sink [Estimated based on structural analog: 4-Chlorobenzaldehyde, CAS 104-88-1, Tanimoto similarity: ~0.78]</w:t>
      </w:r>
    </w:p>
    <w:p>
      <w:pPr>
        <w:pBdr>
          <w:bottom w:val="single" w:color="1B3A5C" w:sz="4"/>
        </w:pBdr>
        <w:spacing w:after="90" w:before="140"/>
      </w:pPr>
      <w:r>
        <w:t xml:space="preserve"/>
      </w:r>
    </w:p>
    <w:p>
      <w:pPr>
        <w:pStyle w:val="Heading2"/>
        <w:keepNext/>
        <w:keepLines/>
        <w:shd w:fill="E4E7EB" w:color="auto" w:val="clear"/>
        <w:spacing w:after="120" w:before="0"/>
      </w:pPr>
      <w:r>
        <w:rPr>
          <w:rFonts w:ascii="Aptos Display" w:cs="Aptos Display" w:eastAsia="Aptos Display" w:hAnsi="Aptos Display"/>
          <w:b/>
          <w:bCs/>
          <w:color w:val="1B3A5C"/>
          <w:sz w:val="24"/>
          <w:szCs w:val="24"/>
        </w:rPr>
        <w:t xml:space="preserve">SECTION 10: Stability and Reactivity</w:t>
      </w:r>
    </w:p>
    <w:p>
      <w:pPr>
        <w:pStyle w:val="ListParagraph"/>
        <w:numPr>
          <w:ilvl w:val="0"/>
          <w:numId w:val="1"/>
        </w:numPr>
        <w:spacing w:after="60" w:line="300"/>
      </w:pPr>
      <w:r>
        <w:rPr>
          <w:rFonts w:ascii="Aptos" w:cs="Aptos" w:eastAsia="Aptos" w:hAnsi="Aptos"/>
          <w:color w:val="111827"/>
          <w:sz w:val="22"/>
          <w:szCs w:val="22"/>
        </w:rPr>
        <w:t xml:space="preserve">Air and Water Reactions: This chemical is sensitive to exposure to air. Insoluble in water.</w:t>
      </w:r>
    </w:p>
    <w:p>
      <w:pPr>
        <w:pStyle w:val="ListParagraph"/>
        <w:numPr>
          <w:ilvl w:val="0"/>
          <w:numId w:val="1"/>
        </w:numPr>
        <w:spacing w:after="60" w:line="300"/>
      </w:pPr>
      <w:r>
        <w:rPr>
          <w:rFonts w:ascii="Aptos" w:cs="Aptos" w:eastAsia="Aptos" w:hAnsi="Aptos"/>
          <w:color w:val="111827"/>
          <w:sz w:val="22"/>
          <w:szCs w:val="22"/>
        </w:rPr>
        <w:t xml:space="preserve">Reactive Group: Aldehydes Hydrocarbons, Aromatic Aryl Halides</w:t>
      </w:r>
    </w:p>
    <w:p>
      <w:pPr>
        <w:pStyle w:val="ListParagraph"/>
        <w:numPr>
          <w:ilvl w:val="0"/>
          <w:numId w:val="1"/>
        </w:numPr>
        <w:spacing w:after="60" w:line="300"/>
      </w:pPr>
      <w:r>
        <w:rPr>
          <w:rFonts w:ascii="Aptos" w:cs="Aptos" w:eastAsia="Aptos" w:hAnsi="Aptos"/>
          <w:color w:val="111827"/>
          <w:sz w:val="22"/>
          <w:szCs w:val="22"/>
        </w:rPr>
        <w:t xml:space="preserve">CSL Reaction Information - CSL No: CSL00161</w:t>
      </w:r>
    </w:p>
    <w:p>
      <w:pPr>
        <w:pStyle w:val="ListParagraph"/>
        <w:numPr>
          <w:ilvl w:val="0"/>
          <w:numId w:val="1"/>
        </w:numPr>
        <w:spacing w:after="60" w:line="300"/>
      </w:pPr>
      <w:r>
        <w:rPr>
          <w:rFonts w:ascii="Aptos" w:cs="Aptos" w:eastAsia="Aptos" w:hAnsi="Aptos"/>
          <w:color w:val="111827"/>
          <w:sz w:val="22"/>
          <w:szCs w:val="22"/>
        </w:rPr>
        <w:t xml:space="preserve">CSL Reaction Information - Reactants/Reagents: Chlorosulfonic acid + 4-Chlorobenzaldehyde</w:t>
      </w:r>
    </w:p>
    <w:p>
      <w:pPr>
        <w:pStyle w:val="ListParagraph"/>
        <w:numPr>
          <w:ilvl w:val="0"/>
          <w:numId w:val="1"/>
        </w:numPr>
        <w:spacing w:after="60" w:line="300"/>
      </w:pPr>
      <w:r>
        <w:rPr>
          <w:rFonts w:ascii="Aptos" w:cs="Aptos" w:eastAsia="Aptos" w:hAnsi="Aptos"/>
          <w:color w:val="111827"/>
          <w:sz w:val="22"/>
          <w:szCs w:val="22"/>
        </w:rPr>
        <w:t xml:space="preserve">CSL Reaction Information - Warning Message: Reaction resulted in an explosion.</w:t>
      </w:r>
    </w:p>
    <w:p>
      <w:pPr>
        <w:pStyle w:val="ListParagraph"/>
        <w:numPr>
          <w:ilvl w:val="0"/>
          <w:numId w:val="1"/>
        </w:numPr>
        <w:spacing w:after="60" w:line="300"/>
      </w:pPr>
      <w:r>
        <w:rPr>
          <w:rFonts w:ascii="Aptos" w:cs="Aptos" w:eastAsia="Aptos" w:hAnsi="Aptos"/>
          <w:color w:val="111827"/>
          <w:sz w:val="22"/>
          <w:szCs w:val="22"/>
        </w:rPr>
        <w:t xml:space="preserve">CSL Reaction Information - GHS Category: Explosive</w:t>
      </w:r>
    </w:p>
    <w:p>
      <w:pPr>
        <w:pStyle w:val="ListParagraph"/>
        <w:numPr>
          <w:ilvl w:val="0"/>
          <w:numId w:val="1"/>
        </w:numPr>
        <w:spacing w:after="60" w:line="300"/>
      </w:pPr>
      <w:r>
        <w:rPr>
          <w:rFonts w:ascii="Aptos" w:cs="Aptos" w:eastAsia="Aptos" w:hAnsi="Aptos"/>
          <w:color w:val="111827"/>
          <w:sz w:val="22"/>
          <w:szCs w:val="22"/>
        </w:rPr>
        <w:t xml:space="preserve">CSL Reaction Information - Reaction Scale: Not Available</w:t>
      </w:r>
    </w:p>
    <w:p>
      <w:pPr>
        <w:pStyle w:val="ListParagraph"/>
        <w:numPr>
          <w:ilvl w:val="0"/>
          <w:numId w:val="1"/>
        </w:numPr>
        <w:spacing w:after="60" w:line="300"/>
      </w:pPr>
      <w:r>
        <w:rPr>
          <w:rFonts w:ascii="Aptos" w:cs="Aptos" w:eastAsia="Aptos" w:hAnsi="Aptos"/>
          <w:color w:val="111827"/>
          <w:sz w:val="22"/>
          <w:szCs w:val="22"/>
        </w:rPr>
        <w:t xml:space="preserve">CSL Reaction Information - Reference Source: User Reported</w:t>
      </w:r>
    </w:p>
    <w:p>
      <w:pPr>
        <w:pStyle w:val="ListParagraph"/>
        <w:numPr>
          <w:ilvl w:val="0"/>
          <w:numId w:val="1"/>
        </w:numPr>
        <w:spacing w:after="60" w:line="300"/>
      </w:pPr>
      <w:r>
        <w:rPr>
          <w:rFonts w:ascii="Aptos" w:cs="Aptos" w:eastAsia="Aptos" w:hAnsi="Aptos"/>
          <w:color w:val="111827"/>
          <w:sz w:val="22"/>
          <w:szCs w:val="22"/>
        </w:rPr>
        <w:t xml:space="preserve">CSL Reaction Information - Modified Date: 04/22/2022</w:t>
      </w:r>
    </w:p>
    <w:p>
      <w:pPr>
        <w:pBdr>
          <w:bottom w:val="single" w:color="1B3A5C" w:sz="4"/>
        </w:pBdr>
        <w:spacing w:after="90" w:before="140"/>
      </w:pPr>
      <w:r>
        <w:t xml:space="preserve"/>
      </w:r>
    </w:p>
    <w:p>
      <w:pPr>
        <w:pStyle w:val="Heading2"/>
        <w:keepNext/>
        <w:keepLines/>
        <w:shd w:fill="E4E7EB" w:color="auto" w:val="clear"/>
        <w:spacing w:after="120" w:before="0"/>
      </w:pPr>
      <w:r>
        <w:rPr>
          <w:rFonts w:ascii="Aptos Display" w:cs="Aptos Display" w:eastAsia="Aptos Display" w:hAnsi="Aptos Display"/>
          <w:b/>
          <w:bCs/>
          <w:color w:val="1B3A5C"/>
          <w:sz w:val="24"/>
          <w:szCs w:val="24"/>
        </w:rPr>
        <w:t xml:space="preserve">SECTION 11: Toxicological Information</w:t>
      </w:r>
    </w:p>
    <w:tbl>
      <w:tblPr>
        <w:tblW w:type="dxa" w:w="10224"/>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384"/>
        <w:gridCol w:w="6840"/>
      </w:tblGrid>
      <w:tr>
        <w:tc>
          <w:tcPr>
            <w:tcW w:type="dxa" w:w="3384"/>
            <w:tcBorders>
              <w:top w:val="single" w:color="CBD2DA" w:sz="4"/>
              <w:left w:val="single" w:color="CBD2DA" w:sz="4"/>
              <w:bottom w:val="single" w:color="1B3A5C" w:sz="6"/>
              <w:right w:val="single" w:color="CBD2DA" w:sz="4"/>
            </w:tcBorders>
            <w:shd w:fill="E4E7EB" w:color="auto" w:val="clear"/>
            <w:tcMar>
              <w:top w:type="dxa" w:w="90"/>
              <w:left w:type="dxa" w:w="100"/>
              <w:bottom w:type="dxa" w:w="90"/>
              <w:right w:type="dxa" w:w="100"/>
            </w:tcMar>
          </w:tcPr>
          <w:p>
            <w:r>
              <w:rPr>
                <w:rFonts w:ascii="Aptos" w:cs="Aptos" w:eastAsia="Aptos" w:hAnsi="Aptos"/>
                <w:b/>
                <w:bCs/>
                <w:color w:val="1B3A5C"/>
                <w:sz w:val="20"/>
                <w:szCs w:val="20"/>
              </w:rPr>
              <w:t xml:space="preserve">Property</w:t>
            </w:r>
          </w:p>
        </w:tc>
        <w:tc>
          <w:tcPr>
            <w:tcW w:type="dxa" w:w="6840"/>
            <w:tcBorders>
              <w:top w:val="single" w:color="CBD2DA" w:sz="4"/>
              <w:left w:val="single" w:color="CBD2DA" w:sz="4"/>
              <w:bottom w:val="single" w:color="1B3A5C" w:sz="6"/>
              <w:right w:val="single" w:color="CBD2DA" w:sz="4"/>
            </w:tcBorders>
            <w:shd w:fill="E4E7EB" w:color="auto" w:val="clear"/>
            <w:tcMar>
              <w:top w:type="dxa" w:w="90"/>
              <w:left w:type="dxa" w:w="100"/>
              <w:bottom w:type="dxa" w:w="90"/>
              <w:right w:type="dxa" w:w="100"/>
            </w:tcMar>
          </w:tcPr>
          <w:p>
            <w:r>
              <w:rPr>
                <w:rFonts w:ascii="Aptos" w:cs="Aptos" w:eastAsia="Aptos" w:hAnsi="Aptos"/>
                <w:b/>
                <w:bCs/>
                <w:color w:val="1B3A5C"/>
                <w:sz w:val="20"/>
                <w:szCs w:val="20"/>
              </w:rPr>
              <w:t xml:space="preserve">Details</w:t>
            </w:r>
          </w:p>
        </w:tc>
      </w:tr>
      <w:tr>
        <w:tc>
          <w:tcPr>
            <w:tcW w:type="dxa" w:w="3384"/>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bCs/>
                <w:color w:val="111827"/>
                <w:sz w:val="20"/>
                <w:szCs w:val="20"/>
              </w:rPr>
              <w:t xml:space="preserve">READ-ACROSS DISCLOSURE</w:t>
            </w:r>
          </w:p>
        </w:tc>
        <w:tc>
          <w:tcPr>
            <w:tcW w:type="dxa" w:w="6840"/>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val="false"/>
                <w:bCs w:val="false"/>
                <w:color w:val="111827"/>
                <w:sz w:val="20"/>
                <w:szCs w:val="20"/>
              </w:rPr>
              <w:t xml:space="preserve">Toxicological data in this section is based on read-across methodology. The reference compound 4-Chlorobenzaldehyde (CAS: 104-88-1, Tanimoto similarity: 0.78) was identified as the structural analog. This approach is consistent with ECHA's Read-Across Assessment Framework (RAAF) and is considered a scientifically valid method for data gap filling where direct experimental data is unavailable. Data should be treated as estimates pending actual experimental characterization. This document is for Research/Developmental Use Only.</w:t>
            </w:r>
          </w:p>
        </w:tc>
      </w:tr>
      <w:tr>
        <w:tc>
          <w:tcPr>
            <w:tcW w:type="dxa" w:w="3384"/>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bCs/>
                <w:color w:val="111827"/>
                <w:sz w:val="20"/>
                <w:szCs w:val="20"/>
              </w:rPr>
              <w:t xml:space="preserve">--- Proxy compound used</w:t>
            </w:r>
          </w:p>
        </w:tc>
        <w:tc>
          <w:tcPr>
            <w:tcW w:type="dxa" w:w="6840"/>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val="false"/>
                <w:bCs w:val="false"/>
                <w:color w:val="111827"/>
                <w:sz w:val="20"/>
                <w:szCs w:val="20"/>
              </w:rPr>
              <w:t xml:space="preserve">4-Chlorobenzaldehyde (CAS: 104-88-1) ---</w:t>
            </w:r>
          </w:p>
        </w:tc>
      </w:tr>
      <w:tr>
        <w:tc>
          <w:tcPr>
            <w:tcW w:type="dxa" w:w="3384"/>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bCs/>
                <w:color w:val="111827"/>
                <w:sz w:val="20"/>
                <w:szCs w:val="20"/>
              </w:rPr>
              <w:t xml:space="preserve">Toxicity Data</w:t>
            </w:r>
          </w:p>
        </w:tc>
        <w:tc>
          <w:tcPr>
            <w:tcW w:type="dxa" w:w="6840"/>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val="false"/>
                <w:bCs w:val="false"/>
                <w:color w:val="111827"/>
                <w:sz w:val="20"/>
                <w:szCs w:val="20"/>
              </w:rPr>
              <w:t xml:space="preserve">LC (rat) &gt; 473 mg/m3/4hr</w:t>
            </w:r>
          </w:p>
        </w:tc>
      </w:tr>
      <w:tr>
        <w:tc>
          <w:tcPr>
            <w:tcW w:type="dxa" w:w="3384"/>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bCs/>
                <w:color w:val="111827"/>
                <w:sz w:val="20"/>
                <w:szCs w:val="20"/>
              </w:rPr>
              <w:t xml:space="preserve">SYMPTOMS</w:t>
            </w:r>
          </w:p>
        </w:tc>
        <w:tc>
          <w:tcPr>
            <w:tcW w:type="dxa" w:w="6840"/>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val="false"/>
                <w:bCs w:val="false"/>
                <w:color w:val="111827"/>
                <w:sz w:val="20"/>
                <w:szCs w:val="20"/>
              </w:rPr>
              <w:t xml:space="preserve">Symptoms of exposure to this compound include irritation of the skin, eyes and mucous membranes. ACUTE/CHRONIC HAZARDS: This chemical may be harmful by inhalation, ingestion or skin absorption. It is an irritant of the skin, eyes and mucous membranes. When heated to decomposition it emits toxic fumes of carbon monoxide, carbon dioxide and hydrogen chloride gas. (NTP, 1992)</w:t>
            </w:r>
          </w:p>
        </w:tc>
      </w:tr>
      <w:tr>
        <w:tc>
          <w:tcPr>
            <w:tcW w:type="dxa" w:w="3384"/>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bCs/>
                <w:color w:val="111827"/>
                <w:sz w:val="20"/>
                <w:szCs w:val="20"/>
              </w:rPr>
              <w:t xml:space="preserve">Likely routes of exposure</w:t>
            </w:r>
          </w:p>
        </w:tc>
        <w:tc>
          <w:tcPr>
            <w:tcW w:type="dxa" w:w="6840"/>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val="false"/>
                <w:bCs w:val="false"/>
                <w:color w:val="111827"/>
                <w:sz w:val="20"/>
                <w:szCs w:val="20"/>
              </w:rPr>
              <w:t xml:space="preserve">inhalation, skin contact, eye contact, and accidental ingestion.</w:t>
            </w:r>
          </w:p>
        </w:tc>
      </w:tr>
      <w:tr>
        <w:tc>
          <w:tcPr>
            <w:tcW w:type="dxa" w:w="3384"/>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bCs/>
                <w:color w:val="111827"/>
                <w:sz w:val="20"/>
                <w:szCs w:val="20"/>
              </w:rPr>
              <w:t xml:space="preserve">Acute effects</w:t>
            </w:r>
          </w:p>
        </w:tc>
        <w:tc>
          <w:tcPr>
            <w:tcW w:type="dxa" w:w="6840"/>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val="false"/>
                <w:bCs w:val="false"/>
                <w:color w:val="111827"/>
                <w:sz w:val="20"/>
                <w:szCs w:val="20"/>
              </w:rPr>
              <w:t xml:space="preserve">Contact may cause irritation to the eyes, skin, or respiratory tract.</w:t>
            </w:r>
          </w:p>
        </w:tc>
      </w:tr>
      <w:tr>
        <w:tc>
          <w:tcPr>
            <w:tcW w:type="dxa" w:w="3384"/>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bCs/>
                <w:color w:val="111827"/>
                <w:sz w:val="20"/>
                <w:szCs w:val="20"/>
              </w:rPr>
              <w:t xml:space="preserve">Chronic effects</w:t>
            </w:r>
          </w:p>
        </w:tc>
        <w:tc>
          <w:tcPr>
            <w:tcW w:type="dxa" w:w="6840"/>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val="false"/>
                <w:bCs w:val="false"/>
                <w:color w:val="111827"/>
                <w:sz w:val="20"/>
                <w:szCs w:val="20"/>
              </w:rPr>
              <w:t xml:space="preserve">Repeated or high-level exposure should be assessed for target-organ or longer-term systemic effects described in the hazard classification.</w:t>
            </w:r>
          </w:p>
        </w:tc>
      </w:tr>
    </w:tbl>
    <w:p>
      <w:pPr>
        <w:pBdr>
          <w:bottom w:val="single" w:color="1B3A5C" w:sz="4"/>
        </w:pBdr>
        <w:spacing w:after="90" w:before="140"/>
      </w:pPr>
      <w:r>
        <w:t xml:space="preserve"/>
      </w:r>
    </w:p>
    <w:p>
      <w:pPr>
        <w:pStyle w:val="Heading2"/>
        <w:keepNext/>
        <w:keepLines/>
        <w:shd w:fill="E4E7EB" w:color="auto" w:val="clear"/>
        <w:spacing w:after="120" w:before="0"/>
      </w:pPr>
      <w:r>
        <w:rPr>
          <w:rFonts w:ascii="Aptos Display" w:cs="Aptos Display" w:eastAsia="Aptos Display" w:hAnsi="Aptos Display"/>
          <w:b/>
          <w:bCs/>
          <w:color w:val="1B3A5C"/>
          <w:sz w:val="24"/>
          <w:szCs w:val="24"/>
        </w:rPr>
        <w:t xml:space="preserve">SECTION 12: Ecological Information</w:t>
      </w:r>
    </w:p>
    <w:p>
      <w:pPr>
        <w:pStyle w:val="ListParagraph"/>
        <w:numPr>
          <w:ilvl w:val="0"/>
          <w:numId w:val="1"/>
        </w:numPr>
        <w:spacing w:after="60" w:line="300"/>
      </w:pPr>
      <w:r>
        <w:rPr>
          <w:rFonts w:ascii="Aptos" w:cs="Aptos" w:eastAsia="Aptos" w:hAnsi="Aptos"/>
          <w:color w:val="111827"/>
          <w:sz w:val="22"/>
          <w:szCs w:val="22"/>
        </w:rPr>
        <w:t xml:space="preserve">Environmental hazard: GHS information indicates concern for aquatic toxicity and release to waterways should be prevented.</w:t>
      </w:r>
    </w:p>
    <w:p>
      <w:pPr>
        <w:pStyle w:val="ListParagraph"/>
        <w:numPr>
          <w:ilvl w:val="0"/>
          <w:numId w:val="1"/>
        </w:numPr>
        <w:spacing w:after="60" w:line="300"/>
      </w:pPr>
      <w:r>
        <w:rPr>
          <w:rFonts w:ascii="Aptos" w:cs="Aptos" w:eastAsia="Aptos" w:hAnsi="Aptos"/>
          <w:color w:val="111827"/>
          <w:sz w:val="22"/>
          <w:szCs w:val="22"/>
        </w:rPr>
        <w:t xml:space="preserve">Mobility and persistence: Environmental fate depends on local conditions, dilution, and the final commercial grade.</w:t>
      </w:r>
    </w:p>
    <w:p>
      <w:pPr>
        <w:pStyle w:val="ListParagraph"/>
        <w:numPr>
          <w:ilvl w:val="0"/>
          <w:numId w:val="1"/>
        </w:numPr>
        <w:spacing w:after="60" w:line="300"/>
      </w:pPr>
      <w:r>
        <w:rPr>
          <w:rFonts w:ascii="Aptos" w:cs="Aptos" w:eastAsia="Aptos" w:hAnsi="Aptos"/>
          <w:color w:val="111827"/>
          <w:sz w:val="22"/>
          <w:szCs w:val="22"/>
        </w:rPr>
        <w:t xml:space="preserve">General practice: Prevent discharge to drains, soil, and natural waters during storage, use, and cleanup.</w:t>
      </w:r>
    </w:p>
    <w:p>
      <w:pPr>
        <w:pBdr>
          <w:bottom w:val="single" w:color="1B3A5C" w:sz="4"/>
        </w:pBdr>
        <w:spacing w:after="90" w:before="140"/>
      </w:pPr>
      <w:r>
        <w:t xml:space="preserve"/>
      </w:r>
    </w:p>
    <w:p>
      <w:pPr>
        <w:pStyle w:val="Heading2"/>
        <w:keepNext/>
        <w:keepLines/>
        <w:shd w:fill="E4E7EB" w:color="auto" w:val="clear"/>
        <w:spacing w:after="120" w:before="0"/>
      </w:pPr>
      <w:r>
        <w:rPr>
          <w:rFonts w:ascii="Aptos Display" w:cs="Aptos Display" w:eastAsia="Aptos Display" w:hAnsi="Aptos Display"/>
          <w:b/>
          <w:bCs/>
          <w:color w:val="1B3A5C"/>
          <w:sz w:val="24"/>
          <w:szCs w:val="24"/>
        </w:rPr>
        <w:t xml:space="preserve">SECTION 13: Disposal Considerations</w:t>
      </w:r>
    </w:p>
    <w:p>
      <w:pPr>
        <w:spacing w:after="100" w:line="300"/>
      </w:pPr>
      <w:r>
        <w:rPr>
          <w:rFonts w:ascii="Aptos" w:cs="Aptos" w:eastAsia="Aptos" w:hAnsi="Aptos"/>
          <w:color w:val="111827"/>
          <w:sz w:val="22"/>
          <w:szCs w:val="22"/>
        </w:rPr>
        <w:t xml:space="preserve">Dispose of residues and contaminated absorbents through a licensed waste contractor in accordance with local, state, and federal requirements.</w:t>
      </w:r>
    </w:p>
    <w:p>
      <w:pPr>
        <w:pStyle w:val="ListParagraph"/>
        <w:numPr>
          <w:ilvl w:val="0"/>
          <w:numId w:val="1"/>
        </w:numPr>
        <w:spacing w:after="60" w:line="300"/>
      </w:pPr>
      <w:r>
        <w:rPr>
          <w:rFonts w:ascii="Aptos" w:cs="Aptos" w:eastAsia="Aptos" w:hAnsi="Aptos"/>
          <w:color w:val="111827"/>
          <w:sz w:val="22"/>
          <w:szCs w:val="22"/>
        </w:rPr>
        <w:t xml:space="preserve">Hazard assessment: Treat the waste stream as hazardous until the final classification for the sold grade has been confirmed.</w:t>
      </w:r>
    </w:p>
    <w:p>
      <w:pPr>
        <w:pStyle w:val="ListParagraph"/>
        <w:numPr>
          <w:ilvl w:val="0"/>
          <w:numId w:val="1"/>
        </w:numPr>
        <w:spacing w:after="60" w:line="300"/>
      </w:pPr>
      <w:r>
        <w:rPr>
          <w:rFonts w:ascii="Aptos" w:cs="Aptos" w:eastAsia="Aptos" w:hAnsi="Aptos"/>
          <w:color w:val="111827"/>
          <w:sz w:val="22"/>
          <w:szCs w:val="22"/>
        </w:rPr>
        <w:t xml:space="preserve">Packaging: Empty containers may retain hazardous residue and should be handled with the same precautions as the product.</w:t>
      </w:r>
    </w:p>
    <w:p>
      <w:pPr>
        <w:pBdr>
          <w:bottom w:val="single" w:color="1B3A5C" w:sz="4"/>
        </w:pBdr>
        <w:spacing w:after="90" w:before="140"/>
      </w:pPr>
      <w:r>
        <w:t xml:space="preserve"/>
      </w:r>
    </w:p>
    <w:p>
      <w:pPr>
        <w:pStyle w:val="Heading2"/>
        <w:keepNext/>
        <w:keepLines/>
        <w:shd w:fill="E4E7EB" w:color="auto" w:val="clear"/>
        <w:spacing w:after="120" w:before="0"/>
      </w:pPr>
      <w:r>
        <w:rPr>
          <w:rFonts w:ascii="Aptos Display" w:cs="Aptos Display" w:eastAsia="Aptos Display" w:hAnsi="Aptos Display"/>
          <w:b/>
          <w:bCs/>
          <w:color w:val="1B3A5C"/>
          <w:sz w:val="24"/>
          <w:szCs w:val="24"/>
        </w:rPr>
        <w:t xml:space="preserve">SECTION 14: Transport Information</w:t>
      </w:r>
    </w:p>
    <w:tbl>
      <w:tblPr>
        <w:tblW w:type="dxa" w:w="10224"/>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384"/>
        <w:gridCol w:w="6840"/>
      </w:tblGrid>
      <w:tr>
        <w:tc>
          <w:tcPr>
            <w:tcW w:type="dxa" w:w="3384"/>
            <w:tcBorders>
              <w:top w:val="single" w:color="CBD2DA" w:sz="4"/>
              <w:left w:val="single" w:color="CBD2DA" w:sz="4"/>
              <w:bottom w:val="single" w:color="1B3A5C" w:sz="6"/>
              <w:right w:val="single" w:color="CBD2DA" w:sz="4"/>
            </w:tcBorders>
            <w:shd w:fill="E4E7EB" w:color="auto" w:val="clear"/>
            <w:tcMar>
              <w:top w:type="dxa" w:w="90"/>
              <w:left w:type="dxa" w:w="100"/>
              <w:bottom w:type="dxa" w:w="90"/>
              <w:right w:type="dxa" w:w="100"/>
            </w:tcMar>
          </w:tcPr>
          <w:p>
            <w:r>
              <w:rPr>
                <w:rFonts w:ascii="Aptos" w:cs="Aptos" w:eastAsia="Aptos" w:hAnsi="Aptos"/>
                <w:b/>
                <w:bCs/>
                <w:color w:val="1B3A5C"/>
                <w:sz w:val="20"/>
                <w:szCs w:val="20"/>
              </w:rPr>
              <w:t xml:space="preserve">Property</w:t>
            </w:r>
          </w:p>
        </w:tc>
        <w:tc>
          <w:tcPr>
            <w:tcW w:type="dxa" w:w="6840"/>
            <w:tcBorders>
              <w:top w:val="single" w:color="CBD2DA" w:sz="4"/>
              <w:left w:val="single" w:color="CBD2DA" w:sz="4"/>
              <w:bottom w:val="single" w:color="1B3A5C" w:sz="6"/>
              <w:right w:val="single" w:color="CBD2DA" w:sz="4"/>
            </w:tcBorders>
            <w:shd w:fill="E4E7EB" w:color="auto" w:val="clear"/>
            <w:tcMar>
              <w:top w:type="dxa" w:w="90"/>
              <w:left w:type="dxa" w:w="100"/>
              <w:bottom w:type="dxa" w:w="90"/>
              <w:right w:type="dxa" w:w="100"/>
            </w:tcMar>
          </w:tcPr>
          <w:p>
            <w:r>
              <w:rPr>
                <w:rFonts w:ascii="Aptos" w:cs="Aptos" w:eastAsia="Aptos" w:hAnsi="Aptos"/>
                <w:b/>
                <w:bCs/>
                <w:color w:val="1B3A5C"/>
                <w:sz w:val="20"/>
                <w:szCs w:val="20"/>
              </w:rPr>
              <w:t xml:space="preserve">Details</w:t>
            </w:r>
          </w:p>
        </w:tc>
      </w:tr>
      <w:tr>
        <w:tc>
          <w:tcPr>
            <w:tcW w:type="dxa" w:w="3384"/>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bCs/>
                <w:color w:val="111827"/>
                <w:sz w:val="20"/>
                <w:szCs w:val="20"/>
              </w:rPr>
              <w:t xml:space="preserve">DOT Label</w:t>
            </w:r>
          </w:p>
        </w:tc>
        <w:tc>
          <w:tcPr>
            <w:tcW w:type="dxa" w:w="6840"/>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val="false"/>
                <w:bCs w:val="false"/>
                <w:color w:val="111827"/>
                <w:sz w:val="20"/>
                <w:szCs w:val="20"/>
              </w:rPr>
              <w:t xml:space="preserve">Poison</w:t>
            </w:r>
          </w:p>
        </w:tc>
      </w:tr>
      <w:tr>
        <w:tc>
          <w:tcPr>
            <w:tcW w:type="dxa" w:w="3384"/>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bCs/>
                <w:color w:val="111827"/>
                <w:sz w:val="20"/>
                <w:szCs w:val="20"/>
              </w:rPr>
              <w:t xml:space="preserve">Shipment classification</w:t>
            </w:r>
          </w:p>
        </w:tc>
        <w:tc>
          <w:tcPr>
            <w:tcW w:type="dxa" w:w="6840"/>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val="false"/>
                <w:bCs w:val="false"/>
                <w:color w:val="111827"/>
                <w:sz w:val="20"/>
                <w:szCs w:val="20"/>
              </w:rPr>
              <w:t xml:space="preserve">Confirm current DOT, IMDG, and IATA requirements before offering the material for transport.</w:t>
            </w:r>
          </w:p>
        </w:tc>
      </w:tr>
      <w:tr>
        <w:tc>
          <w:tcPr>
            <w:tcW w:type="dxa" w:w="3384"/>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bCs/>
                <w:color w:val="111827"/>
                <w:sz w:val="20"/>
                <w:szCs w:val="20"/>
              </w:rPr>
              <w:t xml:space="preserve">Shipment controls</w:t>
            </w:r>
          </w:p>
        </w:tc>
        <w:tc>
          <w:tcPr>
            <w:tcW w:type="dxa" w:w="6840"/>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val="false"/>
                <w:bCs w:val="false"/>
                <w:color w:val="111827"/>
                <w:sz w:val="20"/>
                <w:szCs w:val="20"/>
              </w:rPr>
              <w:t xml:space="preserve">Evaluate corrosive material packing, segregation, and packaging requirements for the specific grade.</w:t>
            </w:r>
          </w:p>
        </w:tc>
      </w:tr>
      <w:tr>
        <w:tc>
          <w:tcPr>
            <w:tcW w:type="dxa" w:w="3384"/>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bCs/>
                <w:color w:val="111827"/>
                <w:sz w:val="20"/>
                <w:szCs w:val="20"/>
              </w:rPr>
              <w:t xml:space="preserve">Documentation</w:t>
            </w:r>
          </w:p>
        </w:tc>
        <w:tc>
          <w:tcPr>
            <w:tcW w:type="dxa" w:w="6840"/>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val="false"/>
                <w:bCs w:val="false"/>
                <w:color w:val="111827"/>
                <w:sz w:val="20"/>
                <w:szCs w:val="20"/>
              </w:rPr>
              <w:t xml:space="preserve">Transport status can vary with concentration, water content, stabilization, and packaging configuration.</w:t>
            </w:r>
          </w:p>
        </w:tc>
      </w:tr>
    </w:tbl>
    <w:p>
      <w:pPr>
        <w:spacing w:after="100" w:line="300"/>
      </w:pPr>
      <w:r>
        <w:rPr>
          <w:rFonts w:ascii="Aptos" w:cs="Aptos" w:eastAsia="Aptos" w:hAnsi="Aptos"/>
          <w:color w:val="111827"/>
          <w:sz w:val="22"/>
          <w:szCs w:val="22"/>
        </w:rPr>
        <w:t xml:space="preserve">2811</w:t>
      </w:r>
    </w:p>
    <w:p>
      <w:pPr>
        <w:pBdr>
          <w:bottom w:val="single" w:color="1B3A5C" w:sz="4"/>
        </w:pBdr>
        <w:spacing w:after="90" w:before="140"/>
      </w:pPr>
      <w:r>
        <w:t xml:space="preserve"/>
      </w:r>
    </w:p>
    <w:p>
      <w:pPr>
        <w:pStyle w:val="Heading2"/>
        <w:keepNext/>
        <w:keepLines/>
        <w:shd w:fill="E4E7EB" w:color="auto" w:val="clear"/>
        <w:spacing w:after="120" w:before="0"/>
      </w:pPr>
      <w:r>
        <w:rPr>
          <w:rFonts w:ascii="Aptos Display" w:cs="Aptos Display" w:eastAsia="Aptos Display" w:hAnsi="Aptos Display"/>
          <w:b/>
          <w:bCs/>
          <w:color w:val="1B3A5C"/>
          <w:sz w:val="24"/>
          <w:szCs w:val="24"/>
        </w:rPr>
        <w:t xml:space="preserve">SECTION 15: Regulatory Information</w:t>
      </w:r>
    </w:p>
    <w:tbl>
      <w:tblPr>
        <w:tblW w:type="dxa" w:w="10224"/>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384"/>
        <w:gridCol w:w="6840"/>
      </w:tblGrid>
      <w:tr>
        <w:tc>
          <w:tcPr>
            <w:tcW w:type="dxa" w:w="3384"/>
            <w:tcBorders>
              <w:top w:val="single" w:color="CBD2DA" w:sz="4"/>
              <w:left w:val="single" w:color="CBD2DA" w:sz="4"/>
              <w:bottom w:val="single" w:color="1B3A5C" w:sz="6"/>
              <w:right w:val="single" w:color="CBD2DA" w:sz="4"/>
            </w:tcBorders>
            <w:shd w:fill="E4E7EB" w:color="auto" w:val="clear"/>
            <w:tcMar>
              <w:top w:type="dxa" w:w="90"/>
              <w:left w:type="dxa" w:w="100"/>
              <w:bottom w:type="dxa" w:w="90"/>
              <w:right w:type="dxa" w:w="100"/>
            </w:tcMar>
          </w:tcPr>
          <w:p>
            <w:r>
              <w:rPr>
                <w:rFonts w:ascii="Aptos" w:cs="Aptos" w:eastAsia="Aptos" w:hAnsi="Aptos"/>
                <w:b/>
                <w:bCs/>
                <w:color w:val="1B3A5C"/>
                <w:sz w:val="20"/>
                <w:szCs w:val="20"/>
              </w:rPr>
              <w:t xml:space="preserve">Property</w:t>
            </w:r>
          </w:p>
        </w:tc>
        <w:tc>
          <w:tcPr>
            <w:tcW w:type="dxa" w:w="6840"/>
            <w:tcBorders>
              <w:top w:val="single" w:color="CBD2DA" w:sz="4"/>
              <w:left w:val="single" w:color="CBD2DA" w:sz="4"/>
              <w:bottom w:val="single" w:color="1B3A5C" w:sz="6"/>
              <w:right w:val="single" w:color="CBD2DA" w:sz="4"/>
            </w:tcBorders>
            <w:shd w:fill="E4E7EB" w:color="auto" w:val="clear"/>
            <w:tcMar>
              <w:top w:type="dxa" w:w="90"/>
              <w:left w:type="dxa" w:w="100"/>
              <w:bottom w:type="dxa" w:w="90"/>
              <w:right w:type="dxa" w:w="100"/>
            </w:tcMar>
          </w:tcPr>
          <w:p>
            <w:r>
              <w:rPr>
                <w:rFonts w:ascii="Aptos" w:cs="Aptos" w:eastAsia="Aptos" w:hAnsi="Aptos"/>
                <w:b/>
                <w:bCs/>
                <w:color w:val="1B3A5C"/>
                <w:sz w:val="20"/>
                <w:szCs w:val="20"/>
              </w:rPr>
              <w:t xml:space="preserve">Details</w:t>
            </w:r>
          </w:p>
        </w:tc>
      </w:tr>
      <w:tr>
        <w:tc>
          <w:tcPr>
            <w:tcW w:type="dxa" w:w="3384"/>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bCs/>
                <w:color w:val="111827"/>
                <w:sz w:val="20"/>
                <w:szCs w:val="20"/>
              </w:rPr>
              <w:t xml:space="preserve">The Australian Inventory of Industrial Chemicals</w:t>
            </w:r>
          </w:p>
        </w:tc>
        <w:tc>
          <w:tcPr>
            <w:tcW w:type="dxa" w:w="6840"/>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val="false"/>
                <w:bCs w:val="false"/>
                <w:color w:val="111827"/>
                <w:sz w:val="20"/>
                <w:szCs w:val="20"/>
              </w:rPr>
              <w:t xml:space="preserve">Chemical: Benzaldehyde, 4-chloro-</w:t>
            </w:r>
          </w:p>
        </w:tc>
      </w:tr>
      <w:tr>
        <w:tc>
          <w:tcPr>
            <w:tcW w:type="dxa" w:w="3384"/>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bCs/>
                <w:color w:val="111827"/>
                <w:sz w:val="20"/>
                <w:szCs w:val="20"/>
              </w:rPr>
              <w:t xml:space="preserve">REACH Registered Substance</w:t>
            </w:r>
          </w:p>
        </w:tc>
        <w:tc>
          <w:tcPr>
            <w:tcW w:type="dxa" w:w="6840"/>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val="false"/>
                <w:bCs w:val="false"/>
                <w:color w:val="111827"/>
                <w:sz w:val="20"/>
                <w:szCs w:val="20"/>
              </w:rPr>
              <w:t xml:space="preserve">Status: Active Update: 13-09-2022 https://echa.europa.eu/registration-dossier/-/registered-dossier/2167 Status: Active Update: 30-11-2012 https://echa.europa.eu/registration-dossier/-/registered-dossier/8298</w:t>
            </w:r>
          </w:p>
        </w:tc>
      </w:tr>
      <w:tr>
        <w:tc>
          <w:tcPr>
            <w:tcW w:type="dxa" w:w="3384"/>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bCs/>
                <w:color w:val="111827"/>
                <w:sz w:val="20"/>
                <w:szCs w:val="20"/>
              </w:rPr>
              <w:t xml:space="preserve">New Zealand EPA Inventory of Chemical Status</w:t>
            </w:r>
          </w:p>
        </w:tc>
        <w:tc>
          <w:tcPr>
            <w:tcW w:type="dxa" w:w="6840"/>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val="false"/>
                <w:bCs w:val="false"/>
                <w:color w:val="111827"/>
                <w:sz w:val="20"/>
                <w:szCs w:val="20"/>
              </w:rPr>
              <w:t xml:space="preserve">4-Chlorobenzaldehyde: Does not have an individual approval but may be used under an appropriate group standard</w:t>
            </w:r>
          </w:p>
        </w:tc>
      </w:tr>
      <w:tr>
        <w:tc>
          <w:tcPr>
            <w:tcW w:type="dxa" w:w="3384"/>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bCs/>
                <w:color w:val="111827"/>
                <w:sz w:val="20"/>
                <w:szCs w:val="20"/>
              </w:rPr>
              <w:t xml:space="preserve">Regulatory review</w:t>
            </w:r>
          </w:p>
        </w:tc>
        <w:tc>
          <w:tcPr>
            <w:tcW w:type="dxa" w:w="6840"/>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val="false"/>
                <w:bCs w:val="false"/>
                <w:color w:val="111827"/>
                <w:sz w:val="20"/>
                <w:szCs w:val="20"/>
              </w:rPr>
              <w:t xml:space="preserve">Confirm inventory status, workplace communication duties, and any reporting thresholds in each destination jurisdiction.</w:t>
            </w:r>
          </w:p>
        </w:tc>
      </w:tr>
      <w:tr>
        <w:tc>
          <w:tcPr>
            <w:tcW w:type="dxa" w:w="3384"/>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bCs/>
                <w:color w:val="111827"/>
                <w:sz w:val="20"/>
                <w:szCs w:val="20"/>
              </w:rPr>
              <w:t xml:space="preserve">Regulatory identifier in use</w:t>
            </w:r>
          </w:p>
        </w:tc>
        <w:tc>
          <w:tcPr>
            <w:tcW w:type="dxa" w:w="6840"/>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val="false"/>
                <w:bCs w:val="false"/>
                <w:color w:val="111827"/>
                <w:sz w:val="20"/>
                <w:szCs w:val="20"/>
              </w:rPr>
              <w:t xml:space="preserve">CAS 104-88-1.</w:t>
            </w:r>
          </w:p>
        </w:tc>
      </w:tr>
      <w:tr>
        <w:tc>
          <w:tcPr>
            <w:tcW w:type="dxa" w:w="3384"/>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bCs/>
                <w:color w:val="111827"/>
                <w:sz w:val="20"/>
                <w:szCs w:val="20"/>
              </w:rPr>
              <w:t xml:space="preserve">Chemical identity cross-check</w:t>
            </w:r>
          </w:p>
        </w:tc>
        <w:tc>
          <w:tcPr>
            <w:tcW w:type="dxa" w:w="6840"/>
            <w:tcBorders>
              <w:top w:val="single" w:color="E2E8F0" w:sz="4"/>
              <w:left w:val="single" w:color="E2E8F0" w:sz="4"/>
              <w:bottom w:val="single" w:color="CBD5E1" w:sz="4"/>
              <w:right w:val="single" w:color="E2E8F0" w:sz="4"/>
            </w:tcBorders>
            <w:tcMar>
              <w:top w:type="dxa" w:w="85"/>
              <w:left w:type="dxa" w:w="100"/>
              <w:bottom w:type="dxa" w:w="85"/>
              <w:right w:type="dxa" w:w="100"/>
            </w:tcMar>
          </w:tcPr>
          <w:p>
            <w:pPr>
              <w:spacing w:after="0"/>
            </w:pPr>
            <w:r>
              <w:rPr>
                <w:rFonts w:ascii="Aptos" w:cs="Aptos" w:eastAsia="Aptos" w:hAnsi="Aptos"/>
                <w:b w:val="false"/>
                <w:bCs w:val="false"/>
                <w:color w:val="111827"/>
                <w:sz w:val="20"/>
                <w:szCs w:val="20"/>
              </w:rPr>
              <w:t xml:space="preserve">4-Chlorobenzaldehyde (C7H5ClO).</w:t>
            </w:r>
          </w:p>
        </w:tc>
      </w:tr>
    </w:tbl>
    <w:p>
      <w:pPr>
        <w:pBdr>
          <w:bottom w:val="single" w:color="1B3A5C" w:sz="4"/>
        </w:pBdr>
        <w:spacing w:after="90" w:before="140"/>
      </w:pPr>
      <w:r>
        <w:t xml:space="preserve"/>
      </w:r>
    </w:p>
    <w:p>
      <w:pPr>
        <w:pStyle w:val="Heading2"/>
        <w:keepNext/>
        <w:keepLines/>
        <w:shd w:fill="E4E7EB" w:color="auto" w:val="clear"/>
        <w:spacing w:after="120" w:before="0"/>
      </w:pPr>
      <w:r>
        <w:rPr>
          <w:rFonts w:ascii="Aptos Display" w:cs="Aptos Display" w:eastAsia="Aptos Display" w:hAnsi="Aptos Display"/>
          <w:b/>
          <w:bCs/>
          <w:color w:val="1B3A5C"/>
          <w:sz w:val="24"/>
          <w:szCs w:val="24"/>
        </w:rPr>
        <w:t xml:space="preserve">SECTION 16: Other Information</w:t>
      </w:r>
    </w:p>
    <w:p>
      <w:pPr>
        <w:pStyle w:val="ListParagraph"/>
        <w:numPr>
          <w:ilvl w:val="0"/>
          <w:numId w:val="1"/>
        </w:numPr>
        <w:spacing w:after="60" w:line="300"/>
      </w:pPr>
      <w:r>
        <w:rPr>
          <w:rFonts w:ascii="Aptos" w:cs="Aptos" w:eastAsia="Aptos" w:hAnsi="Aptos"/>
          <w:color w:val="111827"/>
          <w:sz w:val="22"/>
          <w:szCs w:val="22"/>
        </w:rPr>
        <w:t xml:space="preserve">Prepared date: April 20, 2026</w:t>
      </w:r>
    </w:p>
    <w:p>
      <w:pPr>
        <w:pStyle w:val="ListParagraph"/>
        <w:numPr>
          <w:ilvl w:val="0"/>
          <w:numId w:val="1"/>
        </w:numPr>
        <w:spacing w:after="60" w:line="300"/>
      </w:pPr>
      <w:r>
        <w:rPr>
          <w:rFonts w:ascii="Aptos" w:cs="Aptos" w:eastAsia="Aptos" w:hAnsi="Aptos"/>
          <w:color w:val="111827"/>
          <w:sz w:val="22"/>
          <w:szCs w:val="22"/>
        </w:rPr>
        <w:t xml:space="preserve">Document type: Draft Safety Data Sheet generated by ChemEngine Datatools.</w:t>
      </w:r>
    </w:p>
    <w:p>
      <w:pPr>
        <w:pStyle w:val="ListParagraph"/>
        <w:numPr>
          <w:ilvl w:val="0"/>
          <w:numId w:val="1"/>
        </w:numPr>
        <w:spacing w:after="60" w:line="300"/>
      </w:pPr>
      <w:r>
        <w:rPr>
          <w:rFonts w:ascii="Aptos" w:cs="Aptos" w:eastAsia="Aptos" w:hAnsi="Aptos"/>
          <w:color w:val="111827"/>
          <w:sz w:val="22"/>
          <w:szCs w:val="22"/>
        </w:rPr>
        <w:t xml:space="preserve">Primary source: PubChem compound record CID 7726.</w:t>
      </w:r>
    </w:p>
    <w:p>
      <w:pPr>
        <w:pStyle w:val="ListParagraph"/>
        <w:numPr>
          <w:ilvl w:val="0"/>
          <w:numId w:val="1"/>
        </w:numPr>
        <w:spacing w:after="60" w:line="300"/>
      </w:pPr>
      <w:r>
        <w:rPr>
          <w:rFonts w:ascii="Aptos" w:cs="Aptos" w:eastAsia="Aptos" w:hAnsi="Aptos"/>
          <w:color w:val="111827"/>
          <w:sz w:val="22"/>
          <w:szCs w:val="22"/>
        </w:rPr>
        <w:t xml:space="preserve">Requested identifier: 104-88-1.</w:t>
      </w:r>
    </w:p>
    <w:p>
      <w:pPr>
        <w:pStyle w:val="ListParagraph"/>
        <w:numPr>
          <w:ilvl w:val="0"/>
          <w:numId w:val="1"/>
        </w:numPr>
        <w:spacing w:after="60" w:line="300"/>
      </w:pPr>
      <w:r>
        <w:rPr>
          <w:rFonts w:ascii="Aptos" w:cs="Aptos" w:eastAsia="Aptos" w:hAnsi="Aptos"/>
          <w:color w:val="111827"/>
          <w:sz w:val="22"/>
          <w:szCs w:val="22"/>
        </w:rPr>
        <w:t xml:space="preserve">Resolved formula used throughout this draft: C7H5ClO.</w:t>
      </w:r>
    </w:p>
    <w:p>
      <w:pPr>
        <w:pStyle w:val="ListParagraph"/>
        <w:numPr>
          <w:ilvl w:val="0"/>
          <w:numId w:val="1"/>
        </w:numPr>
        <w:spacing w:after="60" w:line="300"/>
      </w:pPr>
      <w:r>
        <w:rPr>
          <w:rFonts w:ascii="Aptos" w:cs="Aptos" w:eastAsia="Aptos" w:hAnsi="Aptos"/>
          <w:color w:val="111827"/>
          <w:sz w:val="22"/>
          <w:szCs w:val="22"/>
        </w:rPr>
        <w:t xml:space="preserve">Disclaimer: This draft must be reviewed by a qualified EHS or regulatory professional before customer-facing or compliance use.</w:t>
      </w:r>
    </w:p>
    <w:sectPr>
      <w:headerReference w:type="default" r:id="rId7"/>
      <w:footerReference w:type="default" r:id="rId8"/>
      <w:pgSz w:w="11906" w:h="16838" w:orient="portrait"/>
      <w:pgMar w:top="1152" w:right="1008" w:bottom="1152" w:left="1008" w:header="648" w:footer="504"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B3A5C" w:sz="6"/>
      </w:pBdr>
      <w:spacing w:before="40"/>
      <w:jc w:val="center"/>
    </w:pPr>
    <w:r>
      <w:rPr>
        <w:rFonts w:ascii="Aptos" w:cs="Aptos" w:eastAsia="Aptos" w:hAnsi="Aptos"/>
        <w:color w:val="475569"/>
        <w:sz w:val="18"/>
        <w:szCs w:val="18"/>
      </w:rPr>
      <w:t xml:space="preserve">ChemEngine Datatools R&amp;D | undefined | Draft SDS generated by ChemEngine Datatools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40"/>
      <w:jc w:val="center"/>
    </w:pPr>
    <w:r>
      <w:rPr>
        <w:rFonts w:ascii="Aptos Display" w:cs="Aptos Display" w:eastAsia="Aptos Display" w:hAnsi="Aptos Display"/>
        <w:b/>
        <w:bCs/>
        <w:color w:val="0F172A"/>
        <w:sz w:val="24"/>
        <w:szCs w:val="24"/>
      </w:rPr>
      <w:t xml:space="preserve">ChemEngine Datatools R&amp;D</w:t>
    </w:r>
  </w:p>
  <w:p>
    <w:pPr>
      <w:spacing w:after="20"/>
      <w:jc w:val="center"/>
    </w:pPr>
    <w:r>
      <w:rPr>
        <w:rFonts w:ascii="Aptos Display" w:cs="Aptos Display" w:eastAsia="Aptos Display" w:hAnsi="Aptos Display"/>
        <w:b/>
        <w:bCs/>
        <w:color w:val="0F172A"/>
        <w:sz w:val="28"/>
        <w:szCs w:val="28"/>
      </w:rPr>
      <w:t xml:space="preserve">SAFETY DATA SHEET</w:t>
    </w:r>
  </w:p>
  <w:p>
    <w:pPr>
      <w:spacing w:after="20"/>
      <w:jc w:val="center"/>
    </w:pPr>
    <w:r>
      <w:rPr>
        <w:rFonts w:ascii="Aptos" w:cs="Aptos" w:eastAsia="Aptos" w:hAnsi="Aptos"/>
        <w:color w:val="475569"/>
        <w:sz w:val="18"/>
        <w:szCs w:val="18"/>
      </w:rPr>
      <w:t xml:space="preserve">ChemEngine Datatools R&amp;D | undefined | Intake rd-poc-2026-001 | Generated April 20, 2026</w:t>
    </w:r>
  </w:p>
  <w:p>
    <w:pPr>
      <w:pBdr>
        <w:bottom w:val="single" w:color="CBD5E1" w:sz="6"/>
      </w:pBdr>
      <w:spacing w:after="80"/>
      <w:jc w:val="center"/>
    </w:pPr>
    <w:r>
      <w:rPr>
        <w:rFonts w:ascii="Aptos" w:cs="Aptos" w:eastAsia="Aptos" w:hAnsi="Aptos"/>
        <w:b/>
        <w:bCs/>
        <w:i/>
        <w:iCs/>
        <w:color w:val="B45309"/>
        <w:sz w:val="18"/>
        <w:szCs w:val="18"/>
      </w:rPr>
      <w:t xml:space="preserve">DRAFT — Generated by ChemEngine Datatools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cs="Aptos" w:eastAsia="Aptos" w:hAnsi="Aptos"/>
        <w:color w:val="111827"/>
        <w:sz w:val="22"/>
        <w:szCs w:val="22"/>
      </w:rPr>
    </w:rPrDefault>
    <w:pPrDefault>
      <w:pPr>
        <w:spacing w:after="100" w:line="30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88850d7d4c13eccbea80293a09c5858cd368577a.png"/><Relationship Id="rId10" Type="http://schemas.openxmlformats.org/officeDocument/2006/relationships/image" Target="media/ba5d72340941d5b11ba21f29bb40077460ceea04.png"/><Relationship Id="rId11" Type="http://schemas.openxmlformats.org/officeDocument/2006/relationships/image" Target="media/3174d0d5748548f25f0ae374100a9f9eae500eeb.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SDS - Novel Compound R&amp;D-2026-001 (Halogenated Aromatic Intermediate)</dc:title>
  <dc:creator>ChemFlow</dc:creator>
  <dc:description>Editable SDS draft for Novel Compound R&amp;D-2026-001 (Halogenated Aromatic Intermediate)</dc:description>
  <cp:lastModifiedBy>Un-named</cp:lastModifiedBy>
  <cp:revision>1</cp:revision>
  <dcterms:created xsi:type="dcterms:W3CDTF">2026-04-20T20:05:17.028Z</dcterms:created>
  <dcterms:modified xsi:type="dcterms:W3CDTF">2026-04-20T20:05:17.028Z</dcterms:modified>
</cp:coreProperties>
</file>

<file path=docProps/custom.xml><?xml version="1.0" encoding="utf-8"?>
<Properties xmlns="http://schemas.openxmlformats.org/officeDocument/2006/custom-properties" xmlns:vt="http://schemas.openxmlformats.org/officeDocument/2006/docPropsVTypes"/>
</file>